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D51" w:rsidRPr="001F1771" w:rsidRDefault="001F1771" w:rsidP="007D7435">
      <w:pPr>
        <w:spacing w:line="480" w:lineRule="atLeast"/>
        <w:rPr>
          <w:rFonts w:ascii="Arial" w:hAnsi="Arial" w:cs="Arial"/>
          <w:b/>
          <w:color w:val="1F3864" w:themeColor="accent1" w:themeShade="80"/>
          <w:sz w:val="22"/>
          <w:szCs w:val="22"/>
        </w:rPr>
      </w:pPr>
      <w:r w:rsidRPr="001F1771">
        <w:rPr>
          <w:rFonts w:ascii="Arial" w:hAnsi="Arial" w:cs="Arial"/>
          <w:noProof/>
          <w:color w:val="1F3864" w:themeColor="accent1" w:themeShade="80"/>
          <w:sz w:val="22"/>
          <w:szCs w:val="22"/>
        </w:rPr>
        <w:drawing>
          <wp:anchor distT="0" distB="0" distL="114300" distR="114300" simplePos="0" relativeHeight="251659264" behindDoc="0" locked="0" layoutInCell="1" allowOverlap="1">
            <wp:simplePos x="0" y="0"/>
            <wp:positionH relativeFrom="column">
              <wp:posOffset>1166495</wp:posOffset>
            </wp:positionH>
            <wp:positionV relativeFrom="paragraph">
              <wp:posOffset>4445</wp:posOffset>
            </wp:positionV>
            <wp:extent cx="3425825" cy="2057400"/>
            <wp:effectExtent l="0" t="0" r="317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enrico span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5825" cy="2057400"/>
                    </a:xfrm>
                    <a:prstGeom prst="rect">
                      <a:avLst/>
                    </a:prstGeom>
                  </pic:spPr>
                </pic:pic>
              </a:graphicData>
            </a:graphic>
          </wp:anchor>
        </w:drawing>
      </w:r>
      <w:r w:rsidR="000E5087" w:rsidRPr="001F1771">
        <w:rPr>
          <w:rFonts w:ascii="Arial" w:hAnsi="Arial" w:cs="Arial"/>
          <w:b/>
          <w:color w:val="1F3864" w:themeColor="accent1" w:themeShade="80"/>
          <w:sz w:val="22"/>
          <w:szCs w:val="22"/>
        </w:rPr>
        <w:t>OGGETTO: Versamento acconto IVA – scadenza 27 dicembre 201</w:t>
      </w:r>
      <w:r w:rsidR="00F97466" w:rsidRPr="001F1771">
        <w:rPr>
          <w:rFonts w:ascii="Arial" w:hAnsi="Arial" w:cs="Arial"/>
          <w:b/>
          <w:color w:val="1F3864" w:themeColor="accent1" w:themeShade="80"/>
          <w:sz w:val="22"/>
          <w:szCs w:val="22"/>
        </w:rPr>
        <w:t>8</w:t>
      </w:r>
    </w:p>
    <w:p w:rsidR="00726D51" w:rsidRPr="001F1771" w:rsidRDefault="00726D51">
      <w:pPr>
        <w:pStyle w:val="Corpotesto"/>
        <w:tabs>
          <w:tab w:val="left" w:pos="2160"/>
          <w:tab w:val="left" w:pos="3168"/>
          <w:tab w:val="left" w:pos="4838"/>
        </w:tabs>
        <w:spacing w:line="360" w:lineRule="atLeast"/>
        <w:rPr>
          <w:b/>
          <w:color w:val="1F3864" w:themeColor="accent1" w:themeShade="80"/>
          <w:sz w:val="22"/>
          <w:szCs w:val="22"/>
        </w:rPr>
      </w:pPr>
    </w:p>
    <w:p w:rsidR="00726D51" w:rsidRPr="001F1771" w:rsidRDefault="00F97466">
      <w:pPr>
        <w:pStyle w:val="Corpotesto"/>
        <w:tabs>
          <w:tab w:val="left" w:pos="2160"/>
          <w:tab w:val="left" w:pos="3168"/>
          <w:tab w:val="left" w:pos="4838"/>
        </w:tabs>
        <w:spacing w:line="360" w:lineRule="atLeast"/>
        <w:rPr>
          <w:b/>
          <w:color w:val="1F3864" w:themeColor="accent1" w:themeShade="80"/>
          <w:sz w:val="22"/>
          <w:szCs w:val="22"/>
        </w:rPr>
      </w:pPr>
      <w:r w:rsidRPr="001F1771">
        <w:rPr>
          <w:b/>
          <w:color w:val="1F3864" w:themeColor="accent1" w:themeShade="80"/>
          <w:sz w:val="22"/>
          <w:szCs w:val="22"/>
        </w:rPr>
        <w:t>Giovedì</w:t>
      </w:r>
      <w:r w:rsidR="000E5087" w:rsidRPr="001F1771">
        <w:rPr>
          <w:b/>
          <w:color w:val="1F3864" w:themeColor="accent1" w:themeShade="80"/>
          <w:sz w:val="22"/>
          <w:szCs w:val="22"/>
        </w:rPr>
        <w:t xml:space="preserve"> 27 dicembre 201</w:t>
      </w:r>
      <w:r w:rsidRPr="001F1771">
        <w:rPr>
          <w:b/>
          <w:color w:val="1F3864" w:themeColor="accent1" w:themeShade="80"/>
          <w:sz w:val="22"/>
          <w:szCs w:val="22"/>
        </w:rPr>
        <w:t>8</w:t>
      </w:r>
      <w:r w:rsidR="000E5087" w:rsidRPr="001F1771">
        <w:rPr>
          <w:b/>
          <w:color w:val="1F3864" w:themeColor="accent1" w:themeShade="80"/>
          <w:sz w:val="22"/>
          <w:szCs w:val="22"/>
        </w:rPr>
        <w:t xml:space="preserve"> </w:t>
      </w:r>
      <w:r w:rsidR="000E5087" w:rsidRPr="001F1771">
        <w:rPr>
          <w:rFonts w:cs="Arial"/>
          <w:b/>
          <w:bCs/>
          <w:color w:val="1F3864" w:themeColor="accent1" w:themeShade="80"/>
          <w:sz w:val="22"/>
          <w:szCs w:val="22"/>
        </w:rPr>
        <w:t>sarà</w:t>
      </w:r>
      <w:r w:rsidR="000E5087" w:rsidRPr="001F1771">
        <w:rPr>
          <w:b/>
          <w:color w:val="1F3864" w:themeColor="accent1" w:themeShade="80"/>
          <w:sz w:val="22"/>
          <w:szCs w:val="22"/>
        </w:rPr>
        <w:t xml:space="preserve"> l’ultimo giorno utile per versare l’acconto IVA.</w:t>
      </w:r>
    </w:p>
    <w:p w:rsidR="00726D51" w:rsidRPr="001F1771" w:rsidRDefault="000E5087">
      <w:pPr>
        <w:pStyle w:val="Corpotesto"/>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L’obbligo di versamento dell’acconto IVA è disposto dall’art. 6 della Legge 405/90.</w:t>
      </w:r>
    </w:p>
    <w:p w:rsidR="00726D51" w:rsidRPr="001F1771" w:rsidRDefault="000E5087">
      <w:pPr>
        <w:pStyle w:val="Corpotesto"/>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 xml:space="preserve">Sono tenuti al versamento dell’acconto i titolari di partita IVA che hanno chiuso il </w:t>
      </w:r>
      <w:r w:rsidRPr="001F1771">
        <w:rPr>
          <w:color w:val="1F3864" w:themeColor="accent1" w:themeShade="80"/>
          <w:sz w:val="22"/>
          <w:szCs w:val="22"/>
          <w:u w:val="single"/>
        </w:rPr>
        <w:t>periodo fiscale 201</w:t>
      </w:r>
      <w:r w:rsidR="00F97466" w:rsidRPr="001F1771">
        <w:rPr>
          <w:color w:val="1F3864" w:themeColor="accent1" w:themeShade="80"/>
          <w:sz w:val="22"/>
          <w:szCs w:val="22"/>
          <w:u w:val="single"/>
        </w:rPr>
        <w:t>7</w:t>
      </w:r>
      <w:r w:rsidRPr="001F1771">
        <w:rPr>
          <w:color w:val="1F3864" w:themeColor="accent1" w:themeShade="80"/>
          <w:sz w:val="22"/>
          <w:szCs w:val="22"/>
        </w:rPr>
        <w:t xml:space="preserve"> con un </w:t>
      </w:r>
      <w:r w:rsidRPr="001F1771">
        <w:rPr>
          <w:color w:val="1F3864" w:themeColor="accent1" w:themeShade="80"/>
          <w:sz w:val="22"/>
          <w:szCs w:val="22"/>
          <w:u w:val="single"/>
        </w:rPr>
        <w:t>debito IVA</w:t>
      </w:r>
      <w:r w:rsidRPr="001F1771">
        <w:rPr>
          <w:color w:val="1F3864" w:themeColor="accent1" w:themeShade="80"/>
          <w:sz w:val="22"/>
          <w:szCs w:val="22"/>
        </w:rPr>
        <w:t>.</w:t>
      </w:r>
    </w:p>
    <w:p w:rsidR="00726D51" w:rsidRPr="001F1771" w:rsidRDefault="000E5087">
      <w:pPr>
        <w:pStyle w:val="Corpotesto"/>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Sono esclusi dal versamento dell’acconto IVA i contribuenti per i quali l’importo dovuto a titolo di acconto risulti inferiore al minimo dovuto pari ad euro 103,29 e in ogni caso quelli che:</w:t>
      </w:r>
    </w:p>
    <w:p w:rsidR="00726D51" w:rsidRPr="001F1771" w:rsidRDefault="000E5087">
      <w:pPr>
        <w:pStyle w:val="Corpotesto"/>
        <w:numPr>
          <w:ilvl w:val="0"/>
          <w:numId w:val="24"/>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hanno iniziato l’attività nel corso del 201</w:t>
      </w:r>
      <w:r w:rsidR="00F97466" w:rsidRPr="001F1771">
        <w:rPr>
          <w:color w:val="1F3864" w:themeColor="accent1" w:themeShade="80"/>
          <w:sz w:val="22"/>
          <w:szCs w:val="22"/>
        </w:rPr>
        <w:t>8</w:t>
      </w:r>
      <w:r w:rsidRPr="001F1771">
        <w:rPr>
          <w:color w:val="1F3864" w:themeColor="accent1" w:themeShade="80"/>
          <w:sz w:val="22"/>
          <w:szCs w:val="22"/>
        </w:rPr>
        <w:t xml:space="preserve">; </w:t>
      </w:r>
    </w:p>
    <w:p w:rsidR="00726D51" w:rsidRPr="001F1771" w:rsidRDefault="000E5087">
      <w:pPr>
        <w:pStyle w:val="Corpotesto"/>
        <w:numPr>
          <w:ilvl w:val="0"/>
          <w:numId w:val="24"/>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hanno cessato l’attività entro il 30 settembre 201</w:t>
      </w:r>
      <w:r w:rsidR="00F97466" w:rsidRPr="001F1771">
        <w:rPr>
          <w:color w:val="1F3864" w:themeColor="accent1" w:themeShade="80"/>
          <w:sz w:val="22"/>
          <w:szCs w:val="22"/>
        </w:rPr>
        <w:t>8</w:t>
      </w:r>
      <w:r w:rsidRPr="001F1771">
        <w:rPr>
          <w:color w:val="1F3864" w:themeColor="accent1" w:themeShade="80"/>
          <w:sz w:val="22"/>
          <w:szCs w:val="22"/>
        </w:rPr>
        <w:t xml:space="preserve"> per i contribuenti trimestrali ed entro il 30 novembre 201</w:t>
      </w:r>
      <w:r w:rsidR="00F97466" w:rsidRPr="001F1771">
        <w:rPr>
          <w:color w:val="1F3864" w:themeColor="accent1" w:themeShade="80"/>
          <w:sz w:val="22"/>
          <w:szCs w:val="22"/>
        </w:rPr>
        <w:t>8</w:t>
      </w:r>
      <w:r w:rsidRPr="001F1771">
        <w:rPr>
          <w:color w:val="1F3864" w:themeColor="accent1" w:themeShade="80"/>
          <w:sz w:val="22"/>
          <w:szCs w:val="22"/>
        </w:rPr>
        <w:t xml:space="preserve"> per i contribuenti mensili;</w:t>
      </w:r>
    </w:p>
    <w:p w:rsidR="00726D51" w:rsidRPr="001F1771" w:rsidRDefault="000E5087">
      <w:pPr>
        <w:pStyle w:val="Corpotesto"/>
        <w:numPr>
          <w:ilvl w:val="0"/>
          <w:numId w:val="24"/>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operano in regime agricolo di esonero </w:t>
      </w:r>
      <w:r w:rsidRPr="001F1771">
        <w:rPr>
          <w:i/>
          <w:iCs/>
          <w:color w:val="1F3864" w:themeColor="accent1" w:themeShade="80"/>
          <w:sz w:val="22"/>
          <w:szCs w:val="22"/>
        </w:rPr>
        <w:t>ex</w:t>
      </w:r>
      <w:r w:rsidRPr="001F1771">
        <w:rPr>
          <w:color w:val="1F3864" w:themeColor="accent1" w:themeShade="80"/>
          <w:sz w:val="22"/>
          <w:szCs w:val="22"/>
        </w:rPr>
        <w:t xml:space="preserve"> art 34 c.6 D.P.R. n.633/72; </w:t>
      </w:r>
    </w:p>
    <w:p w:rsidR="00726D51" w:rsidRPr="001F1771" w:rsidRDefault="000E5087">
      <w:pPr>
        <w:pStyle w:val="Corpotesto"/>
        <w:numPr>
          <w:ilvl w:val="0"/>
          <w:numId w:val="24"/>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 xml:space="preserve">hanno effettuato esclusivamente operazioni esenti o non imponibili; </w:t>
      </w:r>
    </w:p>
    <w:p w:rsidR="00726D51" w:rsidRPr="001F1771" w:rsidRDefault="000E5087">
      <w:pPr>
        <w:pStyle w:val="Corpotesto"/>
        <w:numPr>
          <w:ilvl w:val="0"/>
          <w:numId w:val="24"/>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esercitano attività di intrattenimento </w:t>
      </w:r>
      <w:r w:rsidRPr="001F1771">
        <w:rPr>
          <w:i/>
          <w:iCs/>
          <w:color w:val="1F3864" w:themeColor="accent1" w:themeShade="80"/>
          <w:sz w:val="22"/>
          <w:szCs w:val="22"/>
        </w:rPr>
        <w:t>ex</w:t>
      </w:r>
      <w:r w:rsidRPr="001F1771">
        <w:rPr>
          <w:color w:val="1F3864" w:themeColor="accent1" w:themeShade="80"/>
          <w:sz w:val="22"/>
          <w:szCs w:val="22"/>
        </w:rPr>
        <w:t xml:space="preserve"> art 74 comma 6, D.P.R. 633/72; </w:t>
      </w:r>
    </w:p>
    <w:p w:rsidR="00726D51" w:rsidRPr="001F1771" w:rsidRDefault="000E5087">
      <w:pPr>
        <w:pStyle w:val="Corpotesto"/>
        <w:numPr>
          <w:ilvl w:val="0"/>
          <w:numId w:val="24"/>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sono società o associazioni sportive dilettantistiche e altre che applicano il regime forfetario di cui alla L. n.398/91;</w:t>
      </w:r>
    </w:p>
    <w:p w:rsidR="00726D51" w:rsidRPr="001F1771" w:rsidRDefault="000E5087">
      <w:pPr>
        <w:pStyle w:val="Corpotesto"/>
        <w:numPr>
          <w:ilvl w:val="0"/>
          <w:numId w:val="24"/>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operano nel regime dei contribuenti “minimi” e dei “forfettari”;</w:t>
      </w:r>
    </w:p>
    <w:p w:rsidR="00726D51" w:rsidRPr="001F1771" w:rsidRDefault="000E5087">
      <w:pPr>
        <w:pStyle w:val="Corpotesto"/>
        <w:numPr>
          <w:ilvl w:val="0"/>
          <w:numId w:val="24"/>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 xml:space="preserve">sono stati colpiti da calamità naturali per i quali sussista un apposito provvedimento di sospensione dei versamenti; </w:t>
      </w:r>
    </w:p>
    <w:p w:rsidR="00726D51" w:rsidRPr="001F1771" w:rsidRDefault="000E5087">
      <w:pPr>
        <w:pStyle w:val="Corpotesto"/>
        <w:numPr>
          <w:ilvl w:val="0"/>
          <w:numId w:val="24"/>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sono imprenditori individuali che hanno concesso in affitto l’unica azienda entro il 30 settembre 201</w:t>
      </w:r>
      <w:r w:rsidR="00F97466" w:rsidRPr="001F1771">
        <w:rPr>
          <w:color w:val="1F3864" w:themeColor="accent1" w:themeShade="80"/>
          <w:sz w:val="22"/>
          <w:szCs w:val="22"/>
        </w:rPr>
        <w:t>8</w:t>
      </w:r>
      <w:r w:rsidRPr="001F1771">
        <w:rPr>
          <w:color w:val="1F3864" w:themeColor="accent1" w:themeShade="80"/>
          <w:sz w:val="22"/>
          <w:szCs w:val="22"/>
        </w:rPr>
        <w:t xml:space="preserve"> (se trimestrali) o entro il 30 novembre 201</w:t>
      </w:r>
      <w:r w:rsidR="00F97466" w:rsidRPr="001F1771">
        <w:rPr>
          <w:color w:val="1F3864" w:themeColor="accent1" w:themeShade="80"/>
          <w:sz w:val="22"/>
          <w:szCs w:val="22"/>
        </w:rPr>
        <w:t>8</w:t>
      </w:r>
      <w:r w:rsidRPr="001F1771">
        <w:rPr>
          <w:color w:val="1F3864" w:themeColor="accent1" w:themeShade="80"/>
          <w:sz w:val="22"/>
          <w:szCs w:val="22"/>
        </w:rPr>
        <w:t xml:space="preserve"> (se mensili); </w:t>
      </w:r>
    </w:p>
    <w:p w:rsidR="00726D51" w:rsidRPr="001F1771" w:rsidRDefault="000E5087">
      <w:pPr>
        <w:pStyle w:val="Corpotesto"/>
        <w:numPr>
          <w:ilvl w:val="0"/>
          <w:numId w:val="24"/>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 xml:space="preserve">sono contribuenti che hanno effettuato esclusivamente operazioni esenti o non imponibili IVA; </w:t>
      </w:r>
    </w:p>
    <w:p w:rsidR="00726D51" w:rsidRPr="001F1771" w:rsidRDefault="000E5087">
      <w:pPr>
        <w:pStyle w:val="Corpotesto"/>
        <w:numPr>
          <w:ilvl w:val="0"/>
          <w:numId w:val="24"/>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sono enti pubblici territoriali che esercitano attività rilevanti ai fini IVA.</w:t>
      </w:r>
    </w:p>
    <w:p w:rsidR="00726D51" w:rsidRPr="001F1771" w:rsidRDefault="000E5087">
      <w:pPr>
        <w:pStyle w:val="Corpotesto"/>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Non è previsto alcun esonero per le procedure concorsuali, e quindi anche i curatori fallimentari devono calcolare e versare l’acconto IVA per le imprese fallite.</w:t>
      </w:r>
    </w:p>
    <w:p w:rsidR="00726D51" w:rsidRPr="001F1771" w:rsidRDefault="00726D51">
      <w:pPr>
        <w:pStyle w:val="Corpotesto"/>
        <w:tabs>
          <w:tab w:val="left" w:pos="2160"/>
          <w:tab w:val="left" w:pos="3168"/>
          <w:tab w:val="left" w:pos="4838"/>
        </w:tabs>
        <w:spacing w:line="360" w:lineRule="atLeast"/>
        <w:rPr>
          <w:color w:val="1F3864" w:themeColor="accent1" w:themeShade="80"/>
          <w:sz w:val="22"/>
          <w:szCs w:val="22"/>
        </w:rPr>
      </w:pPr>
    </w:p>
    <w:p w:rsidR="00726D51" w:rsidRPr="001F1771" w:rsidRDefault="000E5087">
      <w:pPr>
        <w:pStyle w:val="Corpotesto"/>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lastRenderedPageBreak/>
        <w:t>L’eventuale versamento dovrà essere effettuato per via telematica (direttamente o tramite intermediario abilitato) con modello F24, codice 6013 per i contribuenti mensili e 6035 per i trimestrali.</w:t>
      </w:r>
    </w:p>
    <w:p w:rsidR="00726D51" w:rsidRPr="001F1771" w:rsidRDefault="000E5087">
      <w:pPr>
        <w:pStyle w:val="Corpotesto"/>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Sul versamento dell'acconto da parte dei contribuenti con liquidazione trimestrale ("per opzione") non è dovuta la maggiorazione per interessi dell'1%.</w:t>
      </w:r>
    </w:p>
    <w:p w:rsidR="00726D51" w:rsidRPr="001F1771" w:rsidRDefault="000E5087">
      <w:pPr>
        <w:pStyle w:val="Corpotesto"/>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L'acconto pagato verrà successivamente scomputato dall'ammontare dell'IVA dovuta per il mese di dicembre 201</w:t>
      </w:r>
      <w:r w:rsidR="00F97466" w:rsidRPr="001F1771">
        <w:rPr>
          <w:color w:val="1F3864" w:themeColor="accent1" w:themeShade="80"/>
          <w:sz w:val="22"/>
          <w:szCs w:val="22"/>
        </w:rPr>
        <w:t>8</w:t>
      </w:r>
      <w:r w:rsidRPr="001F1771">
        <w:rPr>
          <w:color w:val="1F3864" w:themeColor="accent1" w:themeShade="80"/>
          <w:sz w:val="22"/>
          <w:szCs w:val="22"/>
        </w:rPr>
        <w:t xml:space="preserve"> (nel caso dei contribuenti mensili) ovvero per il quarto trimestre 201</w:t>
      </w:r>
      <w:r w:rsidR="00F97466" w:rsidRPr="001F1771">
        <w:rPr>
          <w:color w:val="1F3864" w:themeColor="accent1" w:themeShade="80"/>
          <w:sz w:val="22"/>
          <w:szCs w:val="22"/>
        </w:rPr>
        <w:t>8</w:t>
      </w:r>
      <w:r w:rsidRPr="001F1771">
        <w:rPr>
          <w:color w:val="1F3864" w:themeColor="accent1" w:themeShade="80"/>
          <w:sz w:val="22"/>
          <w:szCs w:val="22"/>
        </w:rPr>
        <w:t xml:space="preserve"> (nel caso dei contribuenti trimestrali).</w:t>
      </w:r>
    </w:p>
    <w:p w:rsidR="00726D51" w:rsidRPr="001F1771" w:rsidRDefault="000E5087">
      <w:pPr>
        <w:pStyle w:val="Corpotesto"/>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È ammesso il pagamento mediante compensazione con altre imposte e contributi, ma nel rispetto delle condizioni previste dall’attuale normativa.</w:t>
      </w:r>
    </w:p>
    <w:p w:rsidR="00726D51" w:rsidRPr="001F1771" w:rsidRDefault="00726D51">
      <w:pPr>
        <w:pStyle w:val="Corpotesto"/>
        <w:tabs>
          <w:tab w:val="left" w:pos="2160"/>
          <w:tab w:val="left" w:pos="3168"/>
          <w:tab w:val="left" w:pos="4838"/>
        </w:tabs>
        <w:spacing w:line="360" w:lineRule="atLeast"/>
        <w:rPr>
          <w:color w:val="1F3864" w:themeColor="accent1" w:themeShade="80"/>
          <w:sz w:val="22"/>
          <w:szCs w:val="22"/>
        </w:rPr>
      </w:pPr>
    </w:p>
    <w:p w:rsidR="00726D51" w:rsidRPr="001F1771" w:rsidRDefault="000E5087">
      <w:pPr>
        <w:pStyle w:val="Corpotesto"/>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 xml:space="preserve">L’importo da versare (eventualmente) può essere determinato utilizzando tre differenti modalità di calcolo: </w:t>
      </w:r>
    </w:p>
    <w:p w:rsidR="00726D51" w:rsidRPr="001F1771" w:rsidRDefault="000E5087">
      <w:pPr>
        <w:pStyle w:val="Corpotesto"/>
        <w:numPr>
          <w:ilvl w:val="0"/>
          <w:numId w:val="23"/>
        </w:numPr>
        <w:tabs>
          <w:tab w:val="clear" w:pos="11"/>
          <w:tab w:val="num" w:pos="426"/>
          <w:tab w:val="left" w:pos="2160"/>
          <w:tab w:val="left" w:pos="3168"/>
          <w:tab w:val="left" w:pos="4838"/>
        </w:tabs>
        <w:spacing w:line="360" w:lineRule="atLeast"/>
        <w:ind w:left="426" w:hanging="426"/>
        <w:rPr>
          <w:color w:val="1F3864" w:themeColor="accent1" w:themeShade="80"/>
          <w:sz w:val="22"/>
          <w:szCs w:val="22"/>
        </w:rPr>
      </w:pPr>
      <w:r w:rsidRPr="001F1771">
        <w:rPr>
          <w:b/>
          <w:color w:val="1F3864" w:themeColor="accent1" w:themeShade="80"/>
          <w:sz w:val="22"/>
          <w:szCs w:val="22"/>
        </w:rPr>
        <w:t>storico</w:t>
      </w:r>
      <w:r w:rsidRPr="001F1771">
        <w:rPr>
          <w:color w:val="1F3864" w:themeColor="accent1" w:themeShade="80"/>
          <w:sz w:val="22"/>
          <w:szCs w:val="22"/>
        </w:rPr>
        <w:t>: 88% del versamento relativo all’ultimo mese o trimestre dell’anno precedente (nel calcolo bisogna tenere conto dell’acconto versato lo scorso anno). Se nell’anno 201</w:t>
      </w:r>
      <w:r w:rsidR="00F97466" w:rsidRPr="001F1771">
        <w:rPr>
          <w:color w:val="1F3864" w:themeColor="accent1" w:themeShade="80"/>
          <w:sz w:val="22"/>
          <w:szCs w:val="22"/>
        </w:rPr>
        <w:t>8</w:t>
      </w:r>
      <w:r w:rsidRPr="001F1771">
        <w:rPr>
          <w:color w:val="1F3864" w:themeColor="accent1" w:themeShade="80"/>
          <w:sz w:val="22"/>
          <w:szCs w:val="22"/>
        </w:rPr>
        <w:t xml:space="preserve"> il contribuente ha variato la frequenza delle liquidazioni periodiche rispetto al 201</w:t>
      </w:r>
      <w:r w:rsidR="00F97466" w:rsidRPr="001F1771">
        <w:rPr>
          <w:color w:val="1F3864" w:themeColor="accent1" w:themeShade="80"/>
          <w:sz w:val="22"/>
          <w:szCs w:val="22"/>
        </w:rPr>
        <w:t>7</w:t>
      </w:r>
      <w:r w:rsidRPr="001F1771">
        <w:rPr>
          <w:color w:val="1F3864" w:themeColor="accent1" w:themeShade="80"/>
          <w:sz w:val="22"/>
          <w:szCs w:val="22"/>
        </w:rPr>
        <w:t>, occorre rendere omogenee le basi di raffronto:</w:t>
      </w:r>
    </w:p>
    <w:p w:rsidR="00726D51" w:rsidRPr="001F1771" w:rsidRDefault="000E5087">
      <w:pPr>
        <w:pStyle w:val="Corpotesto"/>
        <w:numPr>
          <w:ilvl w:val="1"/>
          <w:numId w:val="23"/>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il contribuente mensile nel 201</w:t>
      </w:r>
      <w:r w:rsidR="00F97466" w:rsidRPr="001F1771">
        <w:rPr>
          <w:color w:val="1F3864" w:themeColor="accent1" w:themeShade="80"/>
          <w:sz w:val="22"/>
          <w:szCs w:val="22"/>
        </w:rPr>
        <w:t>7</w:t>
      </w:r>
      <w:r w:rsidRPr="001F1771">
        <w:rPr>
          <w:color w:val="1F3864" w:themeColor="accent1" w:themeShade="80"/>
          <w:sz w:val="22"/>
          <w:szCs w:val="22"/>
        </w:rPr>
        <w:t xml:space="preserve"> diventato trimestrale nel 201</w:t>
      </w:r>
      <w:r w:rsidR="00F97466" w:rsidRPr="001F1771">
        <w:rPr>
          <w:color w:val="1F3864" w:themeColor="accent1" w:themeShade="80"/>
          <w:sz w:val="22"/>
          <w:szCs w:val="22"/>
        </w:rPr>
        <w:t>8</w:t>
      </w:r>
      <w:r w:rsidRPr="001F1771">
        <w:rPr>
          <w:color w:val="1F3864" w:themeColor="accent1" w:themeShade="80"/>
          <w:sz w:val="22"/>
          <w:szCs w:val="22"/>
        </w:rPr>
        <w:t xml:space="preserve"> otterrà il dato per il raffronto sommando i risultati delle liquidazioni degli ultimi tre mesi del 201</w:t>
      </w:r>
      <w:r w:rsidR="00F97466" w:rsidRPr="001F1771">
        <w:rPr>
          <w:color w:val="1F3864" w:themeColor="accent1" w:themeShade="80"/>
          <w:sz w:val="22"/>
          <w:szCs w:val="22"/>
        </w:rPr>
        <w:t>7</w:t>
      </w:r>
      <w:r w:rsidRPr="001F1771">
        <w:rPr>
          <w:color w:val="1F3864" w:themeColor="accent1" w:themeShade="80"/>
          <w:sz w:val="22"/>
          <w:szCs w:val="22"/>
        </w:rPr>
        <w:t>;</w:t>
      </w:r>
    </w:p>
    <w:p w:rsidR="00726D51" w:rsidRPr="001F1771" w:rsidRDefault="000E5087">
      <w:pPr>
        <w:pStyle w:val="Corpotesto"/>
        <w:numPr>
          <w:ilvl w:val="1"/>
          <w:numId w:val="23"/>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il contribuente trimestrale nel 201</w:t>
      </w:r>
      <w:r w:rsidR="00F97466" w:rsidRPr="001F1771">
        <w:rPr>
          <w:color w:val="1F3864" w:themeColor="accent1" w:themeShade="80"/>
          <w:sz w:val="22"/>
          <w:szCs w:val="22"/>
        </w:rPr>
        <w:t>7</w:t>
      </w:r>
      <w:r w:rsidRPr="001F1771">
        <w:rPr>
          <w:color w:val="1F3864" w:themeColor="accent1" w:themeShade="80"/>
          <w:sz w:val="22"/>
          <w:szCs w:val="22"/>
        </w:rPr>
        <w:t xml:space="preserve"> diventato mensile nel 201</w:t>
      </w:r>
      <w:r w:rsidR="00F97466" w:rsidRPr="001F1771">
        <w:rPr>
          <w:color w:val="1F3864" w:themeColor="accent1" w:themeShade="80"/>
          <w:sz w:val="22"/>
          <w:szCs w:val="22"/>
        </w:rPr>
        <w:t>8</w:t>
      </w:r>
      <w:r w:rsidRPr="001F1771">
        <w:rPr>
          <w:color w:val="1F3864" w:themeColor="accent1" w:themeShade="80"/>
          <w:sz w:val="22"/>
          <w:szCs w:val="22"/>
        </w:rPr>
        <w:t xml:space="preserve"> otterrà il dato per il raffronto dividendo per tre il saldo della dichiarazione annuale 201</w:t>
      </w:r>
      <w:r w:rsidR="00F97466" w:rsidRPr="001F1771">
        <w:rPr>
          <w:color w:val="1F3864" w:themeColor="accent1" w:themeShade="80"/>
          <w:sz w:val="22"/>
          <w:szCs w:val="22"/>
        </w:rPr>
        <w:t>7</w:t>
      </w:r>
      <w:r w:rsidRPr="001F1771">
        <w:rPr>
          <w:color w:val="1F3864" w:themeColor="accent1" w:themeShade="80"/>
          <w:sz w:val="22"/>
          <w:szCs w:val="22"/>
        </w:rPr>
        <w:t xml:space="preserve"> (al lordo di quanto versato a titolo di acconto per lo stesso anno).</w:t>
      </w:r>
    </w:p>
    <w:p w:rsidR="00726D51" w:rsidRPr="001F1771" w:rsidRDefault="000E5087">
      <w:pPr>
        <w:pStyle w:val="Corpotesto"/>
        <w:numPr>
          <w:ilvl w:val="0"/>
          <w:numId w:val="23"/>
        </w:numPr>
        <w:tabs>
          <w:tab w:val="clear" w:pos="11"/>
          <w:tab w:val="num" w:pos="426"/>
          <w:tab w:val="left" w:pos="2160"/>
          <w:tab w:val="left" w:pos="3168"/>
          <w:tab w:val="left" w:pos="4838"/>
        </w:tabs>
        <w:spacing w:line="360" w:lineRule="atLeast"/>
        <w:ind w:left="426" w:hanging="426"/>
        <w:rPr>
          <w:color w:val="1F3864" w:themeColor="accent1" w:themeShade="80"/>
          <w:sz w:val="22"/>
          <w:szCs w:val="22"/>
        </w:rPr>
      </w:pPr>
      <w:r w:rsidRPr="001F1771">
        <w:rPr>
          <w:b/>
          <w:color w:val="1F3864" w:themeColor="accent1" w:themeShade="80"/>
          <w:sz w:val="22"/>
          <w:szCs w:val="22"/>
        </w:rPr>
        <w:t>analitico</w:t>
      </w:r>
      <w:r w:rsidRPr="001F1771">
        <w:rPr>
          <w:color w:val="1F3864" w:themeColor="accent1" w:themeShade="80"/>
          <w:sz w:val="22"/>
          <w:szCs w:val="22"/>
        </w:rPr>
        <w:t xml:space="preserve">: 100% dell’imposta risultante a debito dalla liquidazione straordinaria alla data del </w:t>
      </w:r>
      <w:r w:rsidRPr="001F1771">
        <w:rPr>
          <w:b/>
          <w:color w:val="1F3864" w:themeColor="accent1" w:themeShade="80"/>
          <w:sz w:val="22"/>
          <w:szCs w:val="22"/>
        </w:rPr>
        <w:t>20 dicembre 201</w:t>
      </w:r>
      <w:r w:rsidR="00F97466" w:rsidRPr="001F1771">
        <w:rPr>
          <w:b/>
          <w:color w:val="1F3864" w:themeColor="accent1" w:themeShade="80"/>
          <w:sz w:val="22"/>
          <w:szCs w:val="22"/>
        </w:rPr>
        <w:t>8</w:t>
      </w:r>
      <w:r w:rsidRPr="001F1771">
        <w:rPr>
          <w:color w:val="1F3864" w:themeColor="accent1" w:themeShade="80"/>
          <w:sz w:val="22"/>
          <w:szCs w:val="22"/>
        </w:rPr>
        <w:t xml:space="preserve">. La liquidazione, che deve essere trascritta sul registro IVA, dovrà considerare: </w:t>
      </w:r>
    </w:p>
    <w:p w:rsidR="00726D51" w:rsidRPr="001F1771" w:rsidRDefault="000E5087">
      <w:pPr>
        <w:pStyle w:val="Corpotesto"/>
        <w:numPr>
          <w:ilvl w:val="1"/>
          <w:numId w:val="23"/>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 xml:space="preserve">le operazioni annotate nel registro delle fatture emesse (o dei corrispettivi) dal 1° dicembre al 20 dicembre (se si tratta di contribuenti mensili) o dal 1° ottobre al 20 dicembre (se si tratta di contribuenti trimestrali) </w:t>
      </w:r>
    </w:p>
    <w:p w:rsidR="00726D51" w:rsidRPr="001F1771" w:rsidRDefault="000E5087">
      <w:pPr>
        <w:pStyle w:val="Corpotesto"/>
        <w:numPr>
          <w:ilvl w:val="1"/>
          <w:numId w:val="23"/>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 xml:space="preserve">le operazioni effettuate, ma non ancora registrate o fatturate, dal 1° novembre al 20 dicembre (se si tratta di contribuenti mensili) o fino al 20 dicembre (se si tratta di contribuenti trimestrali) </w:t>
      </w:r>
    </w:p>
    <w:p w:rsidR="00726D51" w:rsidRPr="001F1771" w:rsidRDefault="000E5087">
      <w:pPr>
        <w:pStyle w:val="Corpotesto"/>
        <w:numPr>
          <w:ilvl w:val="1"/>
          <w:numId w:val="23"/>
        </w:numPr>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 xml:space="preserve">le operazioni annotate nel registro delle fatture degli acquisti dal 1° dicembre al 20 dicembre (se si tratta di contribuenti mensili) o dal 1° ottobre al 20 dicembre (se si tratta di contribuenti trimestrali). </w:t>
      </w:r>
    </w:p>
    <w:p w:rsidR="00726D51" w:rsidRPr="001F1771" w:rsidRDefault="000E5087">
      <w:pPr>
        <w:pStyle w:val="Corpotesto"/>
        <w:numPr>
          <w:ilvl w:val="0"/>
          <w:numId w:val="23"/>
        </w:numPr>
        <w:tabs>
          <w:tab w:val="clear" w:pos="11"/>
          <w:tab w:val="num" w:pos="426"/>
          <w:tab w:val="left" w:pos="2160"/>
          <w:tab w:val="left" w:pos="3168"/>
          <w:tab w:val="left" w:pos="4838"/>
        </w:tabs>
        <w:spacing w:line="360" w:lineRule="atLeast"/>
        <w:ind w:left="426" w:hanging="426"/>
        <w:rPr>
          <w:color w:val="1F3864" w:themeColor="accent1" w:themeShade="80"/>
          <w:sz w:val="22"/>
          <w:szCs w:val="22"/>
        </w:rPr>
      </w:pPr>
      <w:r w:rsidRPr="001F1771">
        <w:rPr>
          <w:b/>
          <w:color w:val="1F3864" w:themeColor="accent1" w:themeShade="80"/>
          <w:sz w:val="22"/>
          <w:szCs w:val="22"/>
        </w:rPr>
        <w:t>previsionale</w:t>
      </w:r>
      <w:r w:rsidRPr="001F1771">
        <w:rPr>
          <w:color w:val="1F3864" w:themeColor="accent1" w:themeShade="80"/>
          <w:sz w:val="22"/>
          <w:szCs w:val="22"/>
        </w:rPr>
        <w:t>: 88% dell’IVA che si prevede di dover versare per l’ultima liquidazione periodica dell’anno in corso.</w:t>
      </w:r>
    </w:p>
    <w:p w:rsidR="00726D51" w:rsidRPr="001F1771" w:rsidRDefault="000E5087">
      <w:pPr>
        <w:pStyle w:val="Corpotesto"/>
        <w:spacing w:line="360" w:lineRule="atLeast"/>
        <w:ind w:left="426"/>
        <w:rPr>
          <w:rFonts w:cs="Arial"/>
          <w:color w:val="1F3864" w:themeColor="accent1" w:themeShade="80"/>
          <w:sz w:val="22"/>
          <w:szCs w:val="22"/>
        </w:rPr>
      </w:pPr>
      <w:r w:rsidRPr="001F1771">
        <w:rPr>
          <w:rFonts w:cs="Arial"/>
          <w:color w:val="1F3864" w:themeColor="accent1" w:themeShade="80"/>
          <w:sz w:val="22"/>
          <w:szCs w:val="22"/>
        </w:rPr>
        <w:lastRenderedPageBreak/>
        <w:t xml:space="preserve">Ricordiamo che, in caso di errore nella stima/previsione, con conseguente versamento inferiore a quanto effettivamente dovuto in sede di liquidazione, sulla somma non versata si applicherà la sanzione del 30% oltre ad interessi. </w:t>
      </w:r>
    </w:p>
    <w:p w:rsidR="00726D51" w:rsidRPr="001F1771" w:rsidRDefault="000E5087">
      <w:pPr>
        <w:pStyle w:val="Corpotesto"/>
        <w:spacing w:line="360" w:lineRule="atLeast"/>
        <w:ind w:left="426"/>
        <w:rPr>
          <w:rFonts w:cs="Arial"/>
          <w:color w:val="1F3864" w:themeColor="accent1" w:themeShade="80"/>
          <w:sz w:val="22"/>
          <w:szCs w:val="22"/>
        </w:rPr>
      </w:pPr>
      <w:r w:rsidRPr="001F1771">
        <w:rPr>
          <w:rFonts w:cs="Arial"/>
          <w:color w:val="1F3864" w:themeColor="accent1" w:themeShade="80"/>
          <w:sz w:val="22"/>
          <w:szCs w:val="22"/>
        </w:rPr>
        <w:t>Quando il contribuente dovesse accorgersi di aver sbagliato la previsione (per difetto), potrà intervenire per correggere l’errore mediante ravvedimento operoso, versando l’acconto dovuto con riduzione della sanzione:</w:t>
      </w:r>
    </w:p>
    <w:p w:rsidR="00726D51" w:rsidRPr="001F1771" w:rsidRDefault="000E5087">
      <w:pPr>
        <w:pStyle w:val="Corpotesto"/>
        <w:numPr>
          <w:ilvl w:val="0"/>
          <w:numId w:val="15"/>
        </w:numPr>
        <w:tabs>
          <w:tab w:val="clear" w:pos="-346"/>
          <w:tab w:val="num" w:pos="851"/>
        </w:tabs>
        <w:spacing w:line="360" w:lineRule="atLeast"/>
        <w:ind w:left="851" w:hanging="425"/>
        <w:rPr>
          <w:rFonts w:cs="Arial"/>
          <w:color w:val="1F3864" w:themeColor="accent1" w:themeShade="80"/>
          <w:sz w:val="22"/>
          <w:szCs w:val="22"/>
        </w:rPr>
      </w:pPr>
      <w:r w:rsidRPr="001F1771">
        <w:rPr>
          <w:rFonts w:cs="Arial"/>
          <w:color w:val="1F3864" w:themeColor="accent1" w:themeShade="80"/>
          <w:sz w:val="22"/>
          <w:szCs w:val="22"/>
        </w:rPr>
        <w:t>allo 0,1% per ogni giorno di ritardo entro i 14 giorni successivi alla scadenza del termine originario: varia quindi dallo 0,1% per un giorno di ritardo, fino al 1,40% per 14 giorni di ritardo.</w:t>
      </w:r>
    </w:p>
    <w:p w:rsidR="00726D51" w:rsidRPr="001F1771" w:rsidRDefault="000E5087">
      <w:pPr>
        <w:pStyle w:val="Corpotesto"/>
        <w:numPr>
          <w:ilvl w:val="0"/>
          <w:numId w:val="15"/>
        </w:numPr>
        <w:tabs>
          <w:tab w:val="clear" w:pos="-346"/>
          <w:tab w:val="num" w:pos="851"/>
        </w:tabs>
        <w:spacing w:line="360" w:lineRule="atLeast"/>
        <w:ind w:left="851" w:hanging="425"/>
        <w:rPr>
          <w:rFonts w:cs="Arial"/>
          <w:color w:val="1F3864" w:themeColor="accent1" w:themeShade="80"/>
          <w:sz w:val="22"/>
          <w:szCs w:val="22"/>
        </w:rPr>
      </w:pPr>
      <w:r w:rsidRPr="001F1771">
        <w:rPr>
          <w:rFonts w:cs="Arial"/>
          <w:color w:val="1F3864" w:themeColor="accent1" w:themeShade="80"/>
          <w:sz w:val="22"/>
          <w:szCs w:val="22"/>
        </w:rPr>
        <w:t>al 1,5% se la violazione verrà sanata entro 30 giorni con versamento di imposta e interessi al tasso legale vigente (attualmente 0,1% annuo),</w:t>
      </w:r>
    </w:p>
    <w:p w:rsidR="00726D51" w:rsidRPr="001F1771" w:rsidRDefault="000E5087">
      <w:pPr>
        <w:pStyle w:val="Corpotesto"/>
        <w:numPr>
          <w:ilvl w:val="0"/>
          <w:numId w:val="15"/>
        </w:numPr>
        <w:tabs>
          <w:tab w:val="clear" w:pos="-346"/>
          <w:tab w:val="num" w:pos="851"/>
        </w:tabs>
        <w:spacing w:line="360" w:lineRule="atLeast"/>
        <w:ind w:left="851" w:hanging="425"/>
        <w:rPr>
          <w:rFonts w:cs="Arial"/>
          <w:color w:val="1F3864" w:themeColor="accent1" w:themeShade="80"/>
          <w:sz w:val="22"/>
          <w:szCs w:val="22"/>
        </w:rPr>
      </w:pPr>
      <w:r w:rsidRPr="001F1771">
        <w:rPr>
          <w:rFonts w:cs="Arial"/>
          <w:color w:val="1F3864" w:themeColor="accent1" w:themeShade="80"/>
          <w:sz w:val="22"/>
          <w:szCs w:val="22"/>
        </w:rPr>
        <w:t>al 1,67% se la violazione verrà sanata entro 90 giorni con versamento di imposta e interessi al tasso legale vigente (attualmente 0,1% annuo).</w:t>
      </w:r>
    </w:p>
    <w:p w:rsidR="00726D51" w:rsidRPr="001F1771" w:rsidRDefault="000E5087">
      <w:pPr>
        <w:pStyle w:val="Corpotesto"/>
        <w:numPr>
          <w:ilvl w:val="0"/>
          <w:numId w:val="15"/>
        </w:numPr>
        <w:tabs>
          <w:tab w:val="clear" w:pos="-346"/>
          <w:tab w:val="num" w:pos="851"/>
        </w:tabs>
        <w:spacing w:line="360" w:lineRule="atLeast"/>
        <w:ind w:left="851" w:hanging="425"/>
        <w:rPr>
          <w:rFonts w:cs="Arial"/>
          <w:color w:val="1F3864" w:themeColor="accent1" w:themeShade="80"/>
          <w:sz w:val="22"/>
          <w:szCs w:val="22"/>
        </w:rPr>
      </w:pPr>
      <w:r w:rsidRPr="001F1771">
        <w:rPr>
          <w:rFonts w:cs="Arial"/>
          <w:color w:val="1F3864" w:themeColor="accent1" w:themeShade="80"/>
          <w:sz w:val="22"/>
          <w:szCs w:val="22"/>
        </w:rPr>
        <w:t>al 3,75% se la violazione verrà sanata entro il termine previsto per la presentazione della dichiarazione per l’anno 2017 con versamento di imposta e interessi al tasso legale vigente (attualmente 0,1% annuo).</w:t>
      </w:r>
    </w:p>
    <w:p w:rsidR="00726D51" w:rsidRPr="001F1771" w:rsidRDefault="000E5087">
      <w:pPr>
        <w:pStyle w:val="Corpotesto"/>
        <w:spacing w:line="360" w:lineRule="atLeast"/>
        <w:ind w:left="426"/>
        <w:rPr>
          <w:rFonts w:cs="Arial"/>
          <w:color w:val="1F3864" w:themeColor="accent1" w:themeShade="80"/>
          <w:sz w:val="22"/>
          <w:szCs w:val="22"/>
        </w:rPr>
      </w:pPr>
      <w:r w:rsidRPr="001F1771">
        <w:rPr>
          <w:rFonts w:cs="Arial"/>
          <w:color w:val="1F3864" w:themeColor="accent1" w:themeShade="80"/>
          <w:sz w:val="22"/>
          <w:szCs w:val="22"/>
        </w:rPr>
        <w:t>Se invece il contribuente non sanasse il mancato versamento dell’acconto mediante ravvedimento operoso, la sanzione del 30% potrà comunque essere ridotta:</w:t>
      </w:r>
    </w:p>
    <w:p w:rsidR="00726D51" w:rsidRPr="001F1771" w:rsidRDefault="000E5087">
      <w:pPr>
        <w:pStyle w:val="Corpotesto"/>
        <w:numPr>
          <w:ilvl w:val="0"/>
          <w:numId w:val="15"/>
        </w:numPr>
        <w:tabs>
          <w:tab w:val="clear" w:pos="-346"/>
          <w:tab w:val="num" w:pos="851"/>
        </w:tabs>
        <w:spacing w:line="360" w:lineRule="atLeast"/>
        <w:ind w:left="851" w:hanging="425"/>
        <w:rPr>
          <w:rFonts w:cs="Arial"/>
          <w:color w:val="1F3864" w:themeColor="accent1" w:themeShade="80"/>
          <w:sz w:val="22"/>
          <w:szCs w:val="22"/>
        </w:rPr>
      </w:pPr>
      <w:r w:rsidRPr="001F1771">
        <w:rPr>
          <w:rFonts w:cs="Arial"/>
          <w:color w:val="1F3864" w:themeColor="accent1" w:themeShade="80"/>
          <w:sz w:val="22"/>
          <w:szCs w:val="22"/>
        </w:rPr>
        <w:t>ad un terzo (10%) nel caso in cui le somme dovute siano pagate entro 30 giorni dal ricevimento della comunicazione dell’esito della liquidazione automatica (ex art. 36-bis del D.P.R. n. 600 del 1973);</w:t>
      </w:r>
    </w:p>
    <w:p w:rsidR="00726D51" w:rsidRPr="001F1771" w:rsidRDefault="000E5087">
      <w:pPr>
        <w:pStyle w:val="Corpotesto"/>
        <w:numPr>
          <w:ilvl w:val="0"/>
          <w:numId w:val="15"/>
        </w:numPr>
        <w:tabs>
          <w:tab w:val="clear" w:pos="-346"/>
          <w:tab w:val="num" w:pos="851"/>
        </w:tabs>
        <w:spacing w:line="360" w:lineRule="atLeast"/>
        <w:ind w:left="851" w:hanging="425"/>
        <w:rPr>
          <w:rFonts w:cs="Arial"/>
          <w:color w:val="1F3864" w:themeColor="accent1" w:themeShade="80"/>
          <w:sz w:val="22"/>
          <w:szCs w:val="22"/>
        </w:rPr>
      </w:pPr>
      <w:r w:rsidRPr="001F1771">
        <w:rPr>
          <w:rFonts w:cs="Arial"/>
          <w:color w:val="1F3864" w:themeColor="accent1" w:themeShade="80"/>
          <w:sz w:val="22"/>
          <w:szCs w:val="22"/>
        </w:rPr>
        <w:t>ai due terzi (20%) nei casi in cui le somme dovute siano pagate entro 30 giorni dal ricevimento della comunicazione dell’esito del controllo formale (ex art. 36-ter del D.P.R. n. 600 del 1973).</w:t>
      </w:r>
    </w:p>
    <w:p w:rsidR="00726D51" w:rsidRPr="001F1771" w:rsidRDefault="00726D51">
      <w:pPr>
        <w:tabs>
          <w:tab w:val="left" w:pos="2016"/>
        </w:tabs>
        <w:spacing w:line="360" w:lineRule="atLeast"/>
        <w:jc w:val="both"/>
        <w:rPr>
          <w:rFonts w:ascii="Arial" w:hAnsi="Arial" w:cs="Arial"/>
          <w:color w:val="1F3864" w:themeColor="accent1" w:themeShade="80"/>
          <w:sz w:val="22"/>
          <w:szCs w:val="22"/>
        </w:rPr>
      </w:pPr>
    </w:p>
    <w:p w:rsidR="00726D51" w:rsidRPr="001F1771" w:rsidRDefault="000E5087">
      <w:pPr>
        <w:pStyle w:val="Corpotesto"/>
        <w:tabs>
          <w:tab w:val="left" w:pos="2160"/>
          <w:tab w:val="left" w:pos="3168"/>
          <w:tab w:val="left" w:pos="4838"/>
        </w:tabs>
        <w:spacing w:line="360" w:lineRule="atLeast"/>
        <w:rPr>
          <w:color w:val="1F3864" w:themeColor="accent1" w:themeShade="80"/>
          <w:sz w:val="22"/>
          <w:szCs w:val="22"/>
        </w:rPr>
      </w:pPr>
      <w:r w:rsidRPr="001F1771">
        <w:rPr>
          <w:color w:val="1F3864" w:themeColor="accent1" w:themeShade="80"/>
          <w:sz w:val="22"/>
          <w:szCs w:val="22"/>
        </w:rPr>
        <w:t xml:space="preserve">Nota Bene: cogliamo l’occasione per ricordarVi che l’art. 10 ter del D.Lgs 74/2000 prevede una </w:t>
      </w:r>
      <w:r w:rsidRPr="001F1771">
        <w:rPr>
          <w:b/>
          <w:color w:val="1F3864" w:themeColor="accent1" w:themeShade="80"/>
          <w:sz w:val="22"/>
          <w:szCs w:val="22"/>
        </w:rPr>
        <w:t>sanzione penale</w:t>
      </w:r>
      <w:r w:rsidRPr="001F1771">
        <w:rPr>
          <w:color w:val="1F3864" w:themeColor="accent1" w:themeShade="80"/>
          <w:sz w:val="22"/>
          <w:szCs w:val="22"/>
        </w:rPr>
        <w:t xml:space="preserve"> in caso di omesso versamento Iva per ammontare superiore a 250.000</w:t>
      </w:r>
      <w:r w:rsidRPr="001F1771">
        <w:rPr>
          <w:rStyle w:val="Rimandonotaapidipagina"/>
          <w:color w:val="1F3864" w:themeColor="accent1" w:themeShade="80"/>
          <w:sz w:val="22"/>
          <w:szCs w:val="22"/>
        </w:rPr>
        <w:footnoteReference w:id="1"/>
      </w:r>
      <w:r w:rsidRPr="001F1771">
        <w:rPr>
          <w:color w:val="1F3864" w:themeColor="accent1" w:themeShade="80"/>
          <w:sz w:val="22"/>
          <w:szCs w:val="22"/>
        </w:rPr>
        <w:t xml:space="preserve"> euro: ma per la consumazione del reato non è sufficiente un qualsiasi ritardo nel versamento rispetto alle scadenze previste, ma </w:t>
      </w:r>
      <w:r w:rsidRPr="001F1771">
        <w:rPr>
          <w:b/>
          <w:color w:val="1F3864" w:themeColor="accent1" w:themeShade="80"/>
          <w:sz w:val="22"/>
          <w:szCs w:val="22"/>
        </w:rPr>
        <w:t>occorre che l’omissione del versamento dell’imposta dovuta in base alla dichiarazione si protragga fino al 27 dicembre dell’anno successivo al periodo di imposta di riferimento</w:t>
      </w:r>
      <w:r w:rsidRPr="001F1771">
        <w:rPr>
          <w:color w:val="1F3864" w:themeColor="accent1" w:themeShade="80"/>
          <w:sz w:val="22"/>
          <w:szCs w:val="22"/>
        </w:rPr>
        <w:t>.</w:t>
      </w:r>
    </w:p>
    <w:p w:rsidR="001F1771" w:rsidRPr="001F1771" w:rsidRDefault="001F1771">
      <w:pPr>
        <w:pStyle w:val="Corpotesto"/>
        <w:tabs>
          <w:tab w:val="left" w:pos="2160"/>
          <w:tab w:val="left" w:pos="3168"/>
          <w:tab w:val="left" w:pos="4838"/>
        </w:tabs>
        <w:spacing w:line="360" w:lineRule="atLeast"/>
        <w:rPr>
          <w:color w:val="1F3864" w:themeColor="accent1" w:themeShade="80"/>
          <w:sz w:val="22"/>
          <w:szCs w:val="22"/>
        </w:rPr>
      </w:pPr>
    </w:p>
    <w:p w:rsidR="001F1771" w:rsidRPr="001F1771" w:rsidRDefault="001F1771">
      <w:pPr>
        <w:pStyle w:val="Corpotesto"/>
        <w:tabs>
          <w:tab w:val="left" w:pos="2160"/>
          <w:tab w:val="left" w:pos="3168"/>
          <w:tab w:val="left" w:pos="4838"/>
        </w:tabs>
        <w:spacing w:line="360" w:lineRule="atLeast"/>
        <w:rPr>
          <w:color w:val="1F3864" w:themeColor="accent1" w:themeShade="80"/>
          <w:sz w:val="22"/>
          <w:szCs w:val="22"/>
        </w:rPr>
      </w:pPr>
    </w:p>
    <w:p w:rsidR="001F1771" w:rsidRPr="001F1771" w:rsidRDefault="001F1771">
      <w:pPr>
        <w:pStyle w:val="Corpotesto"/>
        <w:tabs>
          <w:tab w:val="left" w:pos="2160"/>
          <w:tab w:val="left" w:pos="3168"/>
          <w:tab w:val="left" w:pos="4838"/>
        </w:tabs>
        <w:spacing w:line="360" w:lineRule="atLeast"/>
        <w:rPr>
          <w:color w:val="1F3864" w:themeColor="accent1" w:themeShade="80"/>
          <w:sz w:val="22"/>
          <w:szCs w:val="22"/>
        </w:rPr>
      </w:pPr>
    </w:p>
    <w:p w:rsidR="001F1771" w:rsidRPr="001F1771" w:rsidRDefault="001F1771">
      <w:pPr>
        <w:pStyle w:val="Corpotesto"/>
        <w:tabs>
          <w:tab w:val="left" w:pos="2160"/>
          <w:tab w:val="left" w:pos="3168"/>
          <w:tab w:val="left" w:pos="4838"/>
        </w:tabs>
        <w:spacing w:line="360" w:lineRule="atLeast"/>
        <w:rPr>
          <w:color w:val="1F3864" w:themeColor="accent1" w:themeShade="80"/>
          <w:sz w:val="22"/>
          <w:szCs w:val="22"/>
        </w:rPr>
      </w:pPr>
    </w:p>
    <w:p w:rsidR="00726D51" w:rsidRPr="001F1771" w:rsidRDefault="000E5087">
      <w:pPr>
        <w:pBdr>
          <w:bottom w:val="single" w:sz="4" w:space="1" w:color="auto"/>
        </w:pBdr>
        <w:spacing w:line="360" w:lineRule="atLeast"/>
        <w:jc w:val="both"/>
        <w:rPr>
          <w:rFonts w:ascii="Arial" w:hAnsi="Arial" w:cs="Arial"/>
          <w:b/>
          <w:smallCaps/>
          <w:color w:val="1F3864" w:themeColor="accent1" w:themeShade="80"/>
          <w:sz w:val="22"/>
          <w:szCs w:val="22"/>
        </w:rPr>
      </w:pPr>
      <w:r w:rsidRPr="001F1771">
        <w:rPr>
          <w:rFonts w:ascii="Arial" w:hAnsi="Arial" w:cs="Arial"/>
          <w:b/>
          <w:smallCaps/>
          <w:color w:val="1F3864" w:themeColor="accent1" w:themeShade="80"/>
          <w:sz w:val="22"/>
          <w:szCs w:val="22"/>
        </w:rPr>
        <w:t>Per i Clienti dello Studio</w:t>
      </w:r>
    </w:p>
    <w:p w:rsidR="00726D51" w:rsidRPr="001F1771" w:rsidRDefault="000E5087">
      <w:pPr>
        <w:pStyle w:val="Corpotesto"/>
        <w:spacing w:line="360" w:lineRule="atLeast"/>
        <w:rPr>
          <w:rFonts w:cs="Arial"/>
          <w:color w:val="1F3864" w:themeColor="accent1" w:themeShade="80"/>
          <w:sz w:val="22"/>
          <w:szCs w:val="22"/>
        </w:rPr>
      </w:pPr>
      <w:r w:rsidRPr="001F1771">
        <w:rPr>
          <w:rFonts w:cs="Arial"/>
          <w:color w:val="1F3864" w:themeColor="accent1" w:themeShade="80"/>
          <w:sz w:val="22"/>
          <w:szCs w:val="22"/>
        </w:rPr>
        <w:t>Come traspare da questa circolare informativa il calcolo degli acconti dovuti con il metodo previsionale si presenta come un’operazione piuttosto delicata.</w:t>
      </w:r>
    </w:p>
    <w:p w:rsidR="00726D51" w:rsidRPr="001F1771" w:rsidRDefault="000E5087">
      <w:pPr>
        <w:pStyle w:val="Corpotesto"/>
        <w:spacing w:line="360" w:lineRule="atLeast"/>
        <w:rPr>
          <w:rFonts w:cs="Arial"/>
          <w:color w:val="1F3864" w:themeColor="accent1" w:themeShade="80"/>
          <w:sz w:val="22"/>
          <w:szCs w:val="22"/>
        </w:rPr>
      </w:pPr>
      <w:r w:rsidRPr="001F1771">
        <w:rPr>
          <w:rFonts w:cs="Arial"/>
          <w:color w:val="1F3864" w:themeColor="accent1" w:themeShade="80"/>
          <w:sz w:val="22"/>
          <w:szCs w:val="22"/>
        </w:rPr>
        <w:t>Per procedere al calcolo degli importi dovuti necessitiamo della Vostra collaborazione e nei prossimi giorni Vi contatteremo per valutare insieme la situazione e definire le modalità e le tempistiche per l’eventuale ricalcolo degli acconti.</w:t>
      </w:r>
    </w:p>
    <w:p w:rsidR="00726D51" w:rsidRPr="001F1771" w:rsidRDefault="00726D51">
      <w:pPr>
        <w:pStyle w:val="Corpotesto"/>
        <w:spacing w:line="360" w:lineRule="atLeast"/>
        <w:rPr>
          <w:rFonts w:cs="Arial"/>
          <w:color w:val="1F3864" w:themeColor="accent1" w:themeShade="80"/>
          <w:sz w:val="22"/>
          <w:szCs w:val="22"/>
        </w:rPr>
      </w:pPr>
    </w:p>
    <w:p w:rsidR="00726D51" w:rsidRPr="001F1771" w:rsidRDefault="000E5087">
      <w:pPr>
        <w:pStyle w:val="Corpotesto"/>
        <w:spacing w:line="360" w:lineRule="atLeast"/>
        <w:rPr>
          <w:rFonts w:cs="Arial"/>
          <w:color w:val="1F3864" w:themeColor="accent1" w:themeShade="80"/>
          <w:sz w:val="22"/>
          <w:szCs w:val="22"/>
        </w:rPr>
      </w:pPr>
      <w:r w:rsidRPr="001F1771">
        <w:rPr>
          <w:rFonts w:cs="Arial"/>
          <w:color w:val="1F3864" w:themeColor="accent1" w:themeShade="80"/>
          <w:sz w:val="22"/>
          <w:szCs w:val="22"/>
        </w:rPr>
        <w:t xml:space="preserve">Siamo a disposizione per qualsiasi chiarimento e per </w:t>
      </w:r>
      <w:proofErr w:type="spellStart"/>
      <w:r w:rsidRPr="001F1771">
        <w:rPr>
          <w:rFonts w:cs="Arial"/>
          <w:color w:val="1F3864" w:themeColor="accent1" w:themeShade="80"/>
          <w:sz w:val="22"/>
          <w:szCs w:val="22"/>
        </w:rPr>
        <w:t>supportarVi</w:t>
      </w:r>
      <w:proofErr w:type="spellEnd"/>
      <w:r w:rsidRPr="001F1771">
        <w:rPr>
          <w:rFonts w:cs="Arial"/>
          <w:color w:val="1F3864" w:themeColor="accent1" w:themeShade="80"/>
          <w:sz w:val="22"/>
          <w:szCs w:val="22"/>
        </w:rPr>
        <w:t xml:space="preserve"> nei calcoli e nelle stime da effettuare. </w:t>
      </w:r>
    </w:p>
    <w:p w:rsidR="00726D51" w:rsidRPr="001F1771" w:rsidRDefault="001F1771">
      <w:pPr>
        <w:pStyle w:val="Corpotesto"/>
        <w:spacing w:line="360" w:lineRule="atLeast"/>
        <w:rPr>
          <w:rFonts w:cs="Arial"/>
          <w:color w:val="1F3864" w:themeColor="accent1" w:themeShade="80"/>
          <w:sz w:val="22"/>
          <w:szCs w:val="22"/>
        </w:rPr>
      </w:pPr>
      <w:r>
        <w:rPr>
          <w:noProof/>
          <w:color w:val="4472C4" w:themeColor="accent1"/>
        </w:rPr>
        <w:drawing>
          <wp:anchor distT="0" distB="0" distL="114300" distR="114300" simplePos="0" relativeHeight="251658240" behindDoc="1" locked="0" layoutInCell="1" allowOverlap="1">
            <wp:simplePos x="0" y="0"/>
            <wp:positionH relativeFrom="column">
              <wp:posOffset>-14605</wp:posOffset>
            </wp:positionH>
            <wp:positionV relativeFrom="paragraph">
              <wp:posOffset>204470</wp:posOffset>
            </wp:positionV>
            <wp:extent cx="1285875" cy="971550"/>
            <wp:effectExtent l="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001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5875" cy="971550"/>
                    </a:xfrm>
                    <a:prstGeom prst="rect">
                      <a:avLst/>
                    </a:prstGeom>
                  </pic:spPr>
                </pic:pic>
              </a:graphicData>
            </a:graphic>
            <wp14:sizeRelH relativeFrom="margin">
              <wp14:pctWidth>0</wp14:pctWidth>
            </wp14:sizeRelH>
            <wp14:sizeRelV relativeFrom="margin">
              <wp14:pctHeight>0</wp14:pctHeight>
            </wp14:sizeRelV>
          </wp:anchor>
        </w:drawing>
      </w:r>
    </w:p>
    <w:p w:rsidR="00726D51" w:rsidRPr="001F1771" w:rsidRDefault="000E5087">
      <w:pPr>
        <w:pStyle w:val="Corpotesto"/>
        <w:spacing w:line="360" w:lineRule="atLeast"/>
        <w:rPr>
          <w:rFonts w:cs="Arial"/>
          <w:color w:val="1F3864" w:themeColor="accent1" w:themeShade="80"/>
          <w:sz w:val="22"/>
          <w:szCs w:val="22"/>
        </w:rPr>
      </w:pPr>
      <w:r w:rsidRPr="001F1771">
        <w:rPr>
          <w:rFonts w:cs="Arial"/>
          <w:color w:val="1F3864" w:themeColor="accent1" w:themeShade="80"/>
          <w:sz w:val="22"/>
          <w:szCs w:val="22"/>
        </w:rPr>
        <w:t>Distinti saluti.</w:t>
      </w:r>
    </w:p>
    <w:p w:rsidR="00726D51" w:rsidRPr="001F1771" w:rsidRDefault="00726D51">
      <w:pPr>
        <w:rPr>
          <w:color w:val="1F3864" w:themeColor="accent1" w:themeShade="80"/>
        </w:rPr>
      </w:pPr>
    </w:p>
    <w:p w:rsidR="00726D51" w:rsidRDefault="00726D51">
      <w:pPr>
        <w:pStyle w:val="Rientrocorpodeltesto3"/>
        <w:spacing w:after="0" w:line="360" w:lineRule="atLeast"/>
        <w:ind w:left="0"/>
        <w:jc w:val="both"/>
        <w:rPr>
          <w:color w:val="1F3864" w:themeColor="accent1" w:themeShade="80"/>
        </w:rPr>
      </w:pPr>
    </w:p>
    <w:p w:rsidR="00D5172D" w:rsidRDefault="00D5172D">
      <w:pPr>
        <w:pStyle w:val="Rientrocorpodeltesto3"/>
        <w:spacing w:after="0" w:line="360" w:lineRule="atLeast"/>
        <w:ind w:left="0"/>
        <w:jc w:val="both"/>
        <w:rPr>
          <w:color w:val="1F3864" w:themeColor="accent1" w:themeShade="80"/>
        </w:rPr>
      </w:pPr>
    </w:p>
    <w:p w:rsidR="00D5172D" w:rsidRDefault="00D5172D">
      <w:pPr>
        <w:pStyle w:val="Rientrocorpodeltesto3"/>
        <w:spacing w:after="0" w:line="360" w:lineRule="atLeast"/>
        <w:ind w:left="0"/>
        <w:jc w:val="both"/>
        <w:rPr>
          <w:color w:val="1F3864" w:themeColor="accent1" w:themeShade="80"/>
        </w:rPr>
      </w:pPr>
    </w:p>
    <w:p w:rsidR="00D5172D" w:rsidRDefault="00D5172D">
      <w:pPr>
        <w:pStyle w:val="Rientrocorpodeltesto3"/>
        <w:spacing w:after="0" w:line="360" w:lineRule="atLeast"/>
        <w:ind w:left="0"/>
        <w:jc w:val="both"/>
        <w:rPr>
          <w:color w:val="1F3864" w:themeColor="accent1" w:themeShade="80"/>
        </w:rPr>
      </w:pPr>
      <w:bookmarkStart w:id="0" w:name="_GoBack"/>
      <w:bookmarkEnd w:id="0"/>
    </w:p>
    <w:p w:rsidR="00D5172D" w:rsidRDefault="00D5172D" w:rsidP="00D5172D">
      <w:pPr>
        <w:jc w:val="both"/>
        <w:rPr>
          <w:rFonts w:ascii="Calibri" w:hAnsi="Calibri" w:cs="Calibri"/>
          <w:sz w:val="18"/>
          <w:szCs w:val="18"/>
          <w:lang w:eastAsia="it-IT"/>
        </w:rPr>
      </w:pPr>
      <w:bookmarkStart w:id="1" w:name="_Hlk518380930"/>
      <w:r>
        <w:rPr>
          <w:rFonts w:ascii="Calibri" w:hAnsi="Calibri" w:cs="Calibri"/>
          <w:sz w:val="18"/>
          <w:szCs w:val="18"/>
        </w:rPr>
        <w:t>Ai sensi del REG.UE. 679/2016, la informiamo che il trattamento dei dati personali forniti allo studio, è finalizzato a soddisfare le richieste che comprendono a scopo esemplificativo ma non esaustivo: servizi offerti, preventivi, reclami, consulenza, fatture, et etc.</w:t>
      </w:r>
    </w:p>
    <w:p w:rsidR="00D5172D" w:rsidRDefault="00D5172D" w:rsidP="00D5172D">
      <w:pPr>
        <w:jc w:val="both"/>
        <w:rPr>
          <w:rFonts w:ascii="Calibri" w:hAnsi="Calibri" w:cs="Calibri"/>
          <w:sz w:val="18"/>
          <w:szCs w:val="18"/>
        </w:rPr>
      </w:pPr>
      <w:r>
        <w:rPr>
          <w:rFonts w:ascii="Calibri" w:hAnsi="Calibri" w:cs="Calibri"/>
          <w:sz w:val="18"/>
          <w:szCs w:val="18"/>
        </w:rPr>
        <w:t>Ai sensi dell’articolo 13 la informiamo che i suoi dati personali verranno trattati al solo scopo di poter offrire un servizio adeguato e congruente alle richieste da lei avanzate. IL TRATTAMENTO avverrà presso la nostra sede in via Leonardo da Vinci n.50, mediante l’utilizzo di mezzi automatizzati e non, per la durata necessaria alle finalità perseguite. Lo studio mette in atto specifiche norme di sicurezza per evitare e prevenire la perdita dei dati, l’uso di questi per scopi illeciti (o non corretti) e l’accesso ai non autorizzati.</w:t>
      </w:r>
    </w:p>
    <w:p w:rsidR="00D5172D" w:rsidRDefault="00D5172D" w:rsidP="00D5172D">
      <w:pPr>
        <w:jc w:val="both"/>
        <w:rPr>
          <w:rFonts w:ascii="Calibri" w:hAnsi="Calibri" w:cs="Calibri"/>
          <w:sz w:val="18"/>
          <w:szCs w:val="18"/>
        </w:rPr>
      </w:pPr>
      <w:r>
        <w:rPr>
          <w:rFonts w:ascii="Calibri" w:hAnsi="Calibri" w:cs="Calibri"/>
          <w:sz w:val="18"/>
          <w:szCs w:val="18"/>
        </w:rPr>
        <w:t>La informiamo che ai sensi dell’art. 7 del codice della privacy, in qualsiasi momento le viene riconosciuto il diritto di: accesso (art. 15), rettifica (art.16), cancellazione (art. 17) limitazione(art.18) portabilità(art.20), revoca (art 7) e proporre reclamo(art.51).</w:t>
      </w:r>
    </w:p>
    <w:p w:rsidR="00D5172D" w:rsidRDefault="00D5172D" w:rsidP="00D5172D">
      <w:pPr>
        <w:jc w:val="both"/>
        <w:rPr>
          <w:rFonts w:ascii="Calibri" w:hAnsi="Calibri" w:cs="Calibri"/>
          <w:sz w:val="18"/>
          <w:szCs w:val="18"/>
        </w:rPr>
      </w:pPr>
      <w:r>
        <w:rPr>
          <w:rFonts w:ascii="Calibri" w:hAnsi="Calibri" w:cs="Calibri"/>
          <w:sz w:val="18"/>
          <w:szCs w:val="18"/>
        </w:rPr>
        <w:t>L’invio di posta elettronica agli indirizzi indicati su questo sito comporta la successiva acquisizione dell’indirizzo del mittente, necessario per rispondere alle richieste, nonché degli eventuali altri dati personali inseriti nel messaggio. I trattamenti connessi ai servizi di questo sito sono curati solo dal personale incaricato del trattamento. I dati personali forniti dagli utenti che inoltrano richieste di invio di materiale informativo sono utilizzati al solo fine di eseguire il servizio o la prestazione richiesta e sono comunicati a terzi nel solo caso in cui ciò sia a tal fine necessario.</w:t>
      </w:r>
    </w:p>
    <w:p w:rsidR="00D5172D" w:rsidRDefault="00D5172D" w:rsidP="00D5172D">
      <w:pPr>
        <w:jc w:val="both"/>
        <w:rPr>
          <w:rFonts w:ascii="Calibri" w:hAnsi="Calibri" w:cs="Calibri"/>
          <w:sz w:val="18"/>
          <w:szCs w:val="18"/>
        </w:rPr>
      </w:pPr>
      <w:r>
        <w:rPr>
          <w:rFonts w:ascii="Calibri" w:hAnsi="Calibri" w:cs="Calibri"/>
          <w:sz w:val="18"/>
          <w:szCs w:val="18"/>
        </w:rPr>
        <w:t xml:space="preserve">L’utente è libero di fornire i dati personali riportati nei moduli di richiesta allo Studio Enrico </w:t>
      </w:r>
      <w:proofErr w:type="spellStart"/>
      <w:r>
        <w:rPr>
          <w:rFonts w:ascii="Calibri" w:hAnsi="Calibri" w:cs="Calibri"/>
          <w:sz w:val="18"/>
          <w:szCs w:val="18"/>
        </w:rPr>
        <w:t>Spanu</w:t>
      </w:r>
      <w:proofErr w:type="spellEnd"/>
      <w:r>
        <w:rPr>
          <w:rFonts w:ascii="Calibri" w:hAnsi="Calibri" w:cs="Calibri"/>
          <w:sz w:val="18"/>
          <w:szCs w:val="18"/>
        </w:rPr>
        <w:t xml:space="preserve"> o per sollecitare l’invio di materiale informativo o di altre comunicazioni o per aderire ai servizi sul sito. Il loro mancato conferimento può comportare l’impossibilità di ottenere quanto richiesto.</w:t>
      </w:r>
    </w:p>
    <w:p w:rsidR="00D5172D" w:rsidRDefault="00D5172D" w:rsidP="00D5172D">
      <w:pPr>
        <w:jc w:val="both"/>
        <w:rPr>
          <w:rFonts w:ascii="Calibri" w:hAnsi="Calibri" w:cs="Calibri"/>
          <w:sz w:val="18"/>
          <w:szCs w:val="18"/>
        </w:rPr>
      </w:pPr>
      <w:r>
        <w:rPr>
          <w:rFonts w:ascii="Calibri" w:hAnsi="Calibri" w:cs="Calibri"/>
          <w:sz w:val="18"/>
          <w:szCs w:val="18"/>
        </w:rPr>
        <w:t xml:space="preserve">Il titolare del trattamento è il Rag. Enrico </w:t>
      </w:r>
      <w:proofErr w:type="spellStart"/>
      <w:r>
        <w:rPr>
          <w:rFonts w:ascii="Calibri" w:hAnsi="Calibri" w:cs="Calibri"/>
          <w:sz w:val="18"/>
          <w:szCs w:val="18"/>
        </w:rPr>
        <w:t>Spanu</w:t>
      </w:r>
      <w:proofErr w:type="spellEnd"/>
      <w:r>
        <w:rPr>
          <w:rFonts w:ascii="Calibri" w:hAnsi="Calibri" w:cs="Calibri"/>
          <w:sz w:val="18"/>
          <w:szCs w:val="18"/>
        </w:rPr>
        <w:t>, iscritto all’ordine dei Dottori Commercialisti di Nuoro al numero 14.</w:t>
      </w:r>
    </w:p>
    <w:p w:rsidR="00D5172D" w:rsidRDefault="00D5172D" w:rsidP="00D5172D">
      <w:pPr>
        <w:jc w:val="both"/>
        <w:rPr>
          <w:rFonts w:ascii="Calibri" w:hAnsi="Calibri" w:cs="Calibri"/>
          <w:sz w:val="18"/>
          <w:szCs w:val="18"/>
        </w:rPr>
      </w:pPr>
    </w:p>
    <w:p w:rsidR="00D5172D" w:rsidRDefault="00D5172D" w:rsidP="00D5172D">
      <w:pPr>
        <w:jc w:val="both"/>
        <w:rPr>
          <w:rFonts w:ascii="Calibri" w:hAnsi="Calibri" w:cs="Calibri"/>
          <w:sz w:val="18"/>
          <w:szCs w:val="18"/>
        </w:rPr>
      </w:pPr>
      <w:r>
        <w:rPr>
          <w:rFonts w:ascii="Calibri" w:hAnsi="Calibri" w:cs="Calibri"/>
          <w:sz w:val="18"/>
          <w:szCs w:val="18"/>
        </w:rPr>
        <w:t xml:space="preserve">L’esercizio dei premessi diritti può essere esercitato mediante comunicazione scritta da inviare a mezzo per all’ indirizzo </w:t>
      </w:r>
      <w:hyperlink r:id="rId10" w:history="1">
        <w:r>
          <w:rPr>
            <w:rStyle w:val="Collegamentoipertestuale"/>
            <w:rFonts w:ascii="Calibri" w:hAnsi="Calibri" w:cs="Calibri"/>
            <w:sz w:val="18"/>
            <w:szCs w:val="18"/>
          </w:rPr>
          <w:t>enricospanu@pec.it</w:t>
        </w:r>
      </w:hyperlink>
      <w:r>
        <w:rPr>
          <w:rFonts w:ascii="Calibri" w:hAnsi="Calibri" w:cs="Calibri"/>
          <w:sz w:val="18"/>
          <w:szCs w:val="18"/>
        </w:rPr>
        <w:t xml:space="preserve"> o con lettera raccomandata all’ indirizzo sopra riportato.</w:t>
      </w:r>
      <w:bookmarkEnd w:id="1"/>
    </w:p>
    <w:p w:rsidR="00D5172D" w:rsidRPr="001F1771" w:rsidRDefault="00D5172D">
      <w:pPr>
        <w:pStyle w:val="Rientrocorpodeltesto3"/>
        <w:spacing w:after="0" w:line="360" w:lineRule="atLeast"/>
        <w:ind w:left="0"/>
        <w:jc w:val="both"/>
        <w:rPr>
          <w:color w:val="1F3864" w:themeColor="accent1" w:themeShade="80"/>
        </w:rPr>
      </w:pPr>
    </w:p>
    <w:sectPr w:rsidR="00D5172D" w:rsidRPr="001F1771" w:rsidSect="001F1771">
      <w:footerReference w:type="default" r:id="rId11"/>
      <w:headerReference w:type="first" r:id="rId12"/>
      <w:footerReference w:type="first" r:id="rId13"/>
      <w:pgSz w:w="11906" w:h="16838" w:code="9"/>
      <w:pgMar w:top="1418" w:right="1418" w:bottom="1418" w:left="1418" w:header="72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10A" w:rsidRDefault="00E8010A">
      <w:r>
        <w:separator/>
      </w:r>
    </w:p>
  </w:endnote>
  <w:endnote w:type="continuationSeparator" w:id="0">
    <w:p w:rsidR="00E8010A" w:rsidRDefault="00E8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771" w:rsidRPr="001F1771" w:rsidRDefault="001F1771" w:rsidP="001F1771">
    <w:pPr>
      <w:pStyle w:val="Pidipagina"/>
    </w:pPr>
  </w:p>
  <w:p w:rsidR="001F1771" w:rsidRPr="001F1771" w:rsidRDefault="001F1771">
    <w:pPr>
      <w:pStyle w:val="Pidipagina"/>
      <w:rPr>
        <w:color w:val="1F3864" w:themeColor="accent1" w:themeShade="80"/>
      </w:rPr>
    </w:pPr>
    <w:r w:rsidRPr="001F1771">
      <w:rPr>
        <w:color w:val="1F3864" w:themeColor="accent1" w:themeShade="80"/>
      </w:rPr>
      <w:t xml:space="preserve">Rag. Enrico </w:t>
    </w:r>
    <w:proofErr w:type="spellStart"/>
    <w:r w:rsidRPr="001F1771">
      <w:rPr>
        <w:color w:val="1F3864" w:themeColor="accent1" w:themeShade="80"/>
      </w:rPr>
      <w:t>Spanu</w:t>
    </w:r>
    <w:proofErr w:type="spellEnd"/>
    <w:r w:rsidRPr="001F1771">
      <w:rPr>
        <w:color w:val="1F3864" w:themeColor="accent1" w:themeShade="80"/>
      </w:rPr>
      <w:t xml:space="preserve"> Commercialista Revisore dei Conti Via L. da Vinci 50 – 08100 Nuoro</w:t>
    </w:r>
  </w:p>
  <w:p w:rsidR="001F1771" w:rsidRPr="001F1771" w:rsidRDefault="001F1771" w:rsidP="001F1771">
    <w:pPr>
      <w:pStyle w:val="Pidipagina"/>
      <w:rPr>
        <w:color w:val="1F3864" w:themeColor="accent1" w:themeShade="80"/>
      </w:rPr>
    </w:pPr>
  </w:p>
  <w:p w:rsidR="00726D51" w:rsidRDefault="00726D51">
    <w:pPr>
      <w:pStyle w:val="Intestazion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771" w:rsidRDefault="001F1771">
    <w:pPr>
      <w:pStyle w:val="Pidipagina"/>
    </w:pPr>
  </w:p>
  <w:p w:rsidR="001F1771" w:rsidRDefault="001F1771">
    <w:pPr>
      <w:pStyle w:val="Pidipagina"/>
    </w:pPr>
  </w:p>
  <w:p w:rsidR="001F1771" w:rsidRPr="001F1771" w:rsidRDefault="001F1771">
    <w:pPr>
      <w:pStyle w:val="Pidipagina"/>
      <w:rPr>
        <w:color w:val="1F3864" w:themeColor="accent1" w:themeShade="80"/>
      </w:rPr>
    </w:pPr>
    <w:r w:rsidRPr="001F1771">
      <w:rPr>
        <w:color w:val="1F3864" w:themeColor="accent1" w:themeShade="80"/>
      </w:rPr>
      <w:t xml:space="preserve">Rag. Enrico </w:t>
    </w:r>
    <w:proofErr w:type="spellStart"/>
    <w:r w:rsidRPr="001F1771">
      <w:rPr>
        <w:color w:val="1F3864" w:themeColor="accent1" w:themeShade="80"/>
      </w:rPr>
      <w:t>Spanu</w:t>
    </w:r>
    <w:proofErr w:type="spellEnd"/>
    <w:r w:rsidRPr="001F1771">
      <w:rPr>
        <w:color w:val="1F3864" w:themeColor="accent1" w:themeShade="80"/>
      </w:rPr>
      <w:t xml:space="preserve"> Commercialista Revisore dei Conti via L. Da Vinci 50 – 08100 Nuoro </w:t>
    </w:r>
  </w:p>
  <w:p w:rsidR="00726D51" w:rsidRDefault="00726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10A" w:rsidRDefault="00E8010A">
      <w:r>
        <w:separator/>
      </w:r>
    </w:p>
  </w:footnote>
  <w:footnote w:type="continuationSeparator" w:id="0">
    <w:p w:rsidR="00E8010A" w:rsidRDefault="00E8010A">
      <w:r>
        <w:continuationSeparator/>
      </w:r>
    </w:p>
  </w:footnote>
  <w:footnote w:id="1">
    <w:p w:rsidR="00726D51" w:rsidRDefault="000E5087" w:rsidP="007C594C">
      <w:pPr>
        <w:pStyle w:val="Testonotaapidipagina"/>
        <w:jc w:val="both"/>
        <w:rPr>
          <w:rFonts w:ascii="Arial" w:hAnsi="Arial" w:cs="Arial"/>
          <w:sz w:val="18"/>
          <w:szCs w:val="18"/>
        </w:rPr>
      </w:pPr>
      <w:r>
        <w:rPr>
          <w:rStyle w:val="Rimandonotaapidipagina"/>
        </w:rPr>
        <w:footnoteRef/>
      </w:r>
      <w:r>
        <w:t xml:space="preserve"> </w:t>
      </w:r>
      <w:r>
        <w:rPr>
          <w:rFonts w:ascii="Arial" w:hAnsi="Arial" w:cs="Arial"/>
          <w:sz w:val="18"/>
          <w:szCs w:val="18"/>
        </w:rPr>
        <w:t>Il Decreto legislativo 24 settembre 2015, n. 158 - Revisione del sistema sanzionatorio, in attuazione dell’articolo 8, comma 1, della legge 11 marzo 2014, n. 23 – ha aumentato il precedente limite di 50.000 euro a 250.000 euro.</w:t>
      </w:r>
      <w:r w:rsidR="007C594C" w:rsidRPr="007C594C">
        <w:rPr>
          <w:rFonts w:ascii="Arial" w:hAnsi="Arial" w:cs="Arial"/>
          <w:sz w:val="18"/>
          <w:szCs w:val="18"/>
        </w:rPr>
        <w:t xml:space="preserve"> </w:t>
      </w:r>
      <w:r w:rsidR="007C594C">
        <w:rPr>
          <w:rFonts w:ascii="Arial" w:hAnsi="Arial" w:cs="Arial"/>
          <w:sz w:val="18"/>
          <w:szCs w:val="18"/>
        </w:rPr>
        <w:t>I</w:t>
      </w:r>
      <w:r w:rsidR="007C594C" w:rsidRPr="007C594C">
        <w:rPr>
          <w:rFonts w:ascii="Arial" w:hAnsi="Arial" w:cs="Arial"/>
          <w:sz w:val="18"/>
          <w:szCs w:val="18"/>
        </w:rPr>
        <w:t>l contribuente non è punibile ai sensi dell’art.10 ter D.Lgs.74/2000 se, prima della dichiarazione di apertura del dibattimento di primo grado, provvede all’integralmente pagamento di quanto dovuto all’Erario, anche a seguito delle speciali procedure conciliative e di adesione all'accertamento, oltre al ravvedimento operoso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D51" w:rsidRDefault="000E5087">
    <w:pPr>
      <w:pStyle w:val="Intestazione"/>
      <w:jc w:val="right"/>
      <w:rPr>
        <w:rFonts w:ascii="Arial" w:hAnsi="Arial" w:cs="Arial"/>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4D9C"/>
    <w:multiLevelType w:val="hybridMultilevel"/>
    <w:tmpl w:val="3968B93E"/>
    <w:lvl w:ilvl="0" w:tplc="0BB20466">
      <w:start w:val="1"/>
      <w:numFmt w:val="bullet"/>
      <w:lvlText w:val=""/>
      <w:lvlJc w:val="left"/>
      <w:pPr>
        <w:tabs>
          <w:tab w:val="num" w:pos="11"/>
        </w:tabs>
        <w:ind w:left="11"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B25C5"/>
    <w:multiLevelType w:val="hybridMultilevel"/>
    <w:tmpl w:val="7BC6E158"/>
    <w:lvl w:ilvl="0" w:tplc="DC20795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43F3F"/>
    <w:multiLevelType w:val="multilevel"/>
    <w:tmpl w:val="4148C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85E2B"/>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49C20BC"/>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9C233ED"/>
    <w:multiLevelType w:val="hybridMultilevel"/>
    <w:tmpl w:val="7AE876E8"/>
    <w:lvl w:ilvl="0" w:tplc="DC20795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A769B"/>
    <w:multiLevelType w:val="multilevel"/>
    <w:tmpl w:val="D2A2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97875"/>
    <w:multiLevelType w:val="multilevel"/>
    <w:tmpl w:val="F2BCC7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3D11767"/>
    <w:multiLevelType w:val="hybridMultilevel"/>
    <w:tmpl w:val="05C0FBE4"/>
    <w:lvl w:ilvl="0" w:tplc="DC20795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122F06"/>
    <w:multiLevelType w:val="singleLevel"/>
    <w:tmpl w:val="04100001"/>
    <w:lvl w:ilvl="0">
      <w:start w:val="1"/>
      <w:numFmt w:val="bullet"/>
      <w:pStyle w:val="Puntoelenco1"/>
      <w:lvlText w:val=""/>
      <w:lvlJc w:val="left"/>
      <w:pPr>
        <w:tabs>
          <w:tab w:val="num" w:pos="360"/>
        </w:tabs>
        <w:ind w:left="360" w:hanging="360"/>
      </w:pPr>
      <w:rPr>
        <w:rFonts w:ascii="Symbol" w:hAnsi="Symbol" w:hint="default"/>
      </w:rPr>
    </w:lvl>
  </w:abstractNum>
  <w:abstractNum w:abstractNumId="10" w15:restartNumberingAfterBreak="0">
    <w:nsid w:val="3E86683B"/>
    <w:multiLevelType w:val="hybridMultilevel"/>
    <w:tmpl w:val="DF649942"/>
    <w:lvl w:ilvl="0" w:tplc="33F6EB5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26612E"/>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4441292A"/>
    <w:multiLevelType w:val="multilevel"/>
    <w:tmpl w:val="E474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82143"/>
    <w:multiLevelType w:val="hybridMultilevel"/>
    <w:tmpl w:val="7848017E"/>
    <w:lvl w:ilvl="0" w:tplc="DC20795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76652D"/>
    <w:multiLevelType w:val="hybridMultilevel"/>
    <w:tmpl w:val="1C0689EE"/>
    <w:lvl w:ilvl="0" w:tplc="7F961CE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FE261F"/>
    <w:multiLevelType w:val="hybridMultilevel"/>
    <w:tmpl w:val="4A3AFE8C"/>
    <w:lvl w:ilvl="0" w:tplc="88E8C50C">
      <w:start w:val="1"/>
      <w:numFmt w:val="bullet"/>
      <w:lvlText w:val=""/>
      <w:lvlJc w:val="left"/>
      <w:pPr>
        <w:tabs>
          <w:tab w:val="num" w:pos="284"/>
        </w:tabs>
        <w:ind w:left="284" w:hanging="284"/>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76C02"/>
    <w:multiLevelType w:val="multilevel"/>
    <w:tmpl w:val="8F762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8315B0"/>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58660889"/>
    <w:multiLevelType w:val="hybridMultilevel"/>
    <w:tmpl w:val="2A36D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AA44F4"/>
    <w:multiLevelType w:val="hybridMultilevel"/>
    <w:tmpl w:val="04FC880E"/>
    <w:lvl w:ilvl="0" w:tplc="0BB20466">
      <w:start w:val="1"/>
      <w:numFmt w:val="bullet"/>
      <w:lvlText w:val=""/>
      <w:lvlJc w:val="left"/>
      <w:pPr>
        <w:tabs>
          <w:tab w:val="num" w:pos="-346"/>
        </w:tabs>
        <w:ind w:left="-346" w:hanging="360"/>
      </w:pPr>
      <w:rPr>
        <w:rFonts w:ascii="Symbol" w:hAnsi="Symbol" w:hint="default"/>
        <w:color w:val="auto"/>
      </w:rPr>
    </w:lvl>
    <w:lvl w:ilvl="1" w:tplc="04100003">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37372DA"/>
    <w:multiLevelType w:val="hybridMultilevel"/>
    <w:tmpl w:val="F1620226"/>
    <w:lvl w:ilvl="0" w:tplc="DC20795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66A24"/>
    <w:multiLevelType w:val="hybridMultilevel"/>
    <w:tmpl w:val="DE26F44C"/>
    <w:lvl w:ilvl="0" w:tplc="BB986F6C">
      <w:start w:val="3813"/>
      <w:numFmt w:val="bullet"/>
      <w:lvlText w:val="-"/>
      <w:lvlJc w:val="left"/>
      <w:pPr>
        <w:tabs>
          <w:tab w:val="num" w:pos="720"/>
        </w:tabs>
        <w:ind w:left="720" w:hanging="360"/>
      </w:pPr>
      <w:rPr>
        <w:rFonts w:ascii="Lucida Sans" w:eastAsia="Times New Roman" w:hAnsi="Lucida San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E3051F"/>
    <w:multiLevelType w:val="hybridMultilevel"/>
    <w:tmpl w:val="674C6400"/>
    <w:lvl w:ilvl="0" w:tplc="DC20795C">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D35AF8"/>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7A10005D"/>
    <w:multiLevelType w:val="singleLevel"/>
    <w:tmpl w:val="3A66B73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7B610B8C"/>
    <w:multiLevelType w:val="hybridMultilevel"/>
    <w:tmpl w:val="63E6DFE2"/>
    <w:lvl w:ilvl="0" w:tplc="724C4BA6">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9F7FB4"/>
    <w:multiLevelType w:val="hybridMultilevel"/>
    <w:tmpl w:val="BEFA0532"/>
    <w:lvl w:ilvl="0" w:tplc="0BB20466">
      <w:start w:val="1"/>
      <w:numFmt w:val="bullet"/>
      <w:lvlText w:val=""/>
      <w:lvlJc w:val="left"/>
      <w:pPr>
        <w:tabs>
          <w:tab w:val="num" w:pos="11"/>
        </w:tabs>
        <w:ind w:left="11"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17"/>
  </w:num>
  <w:num w:numId="4">
    <w:abstractNumId w:val="11"/>
  </w:num>
  <w:num w:numId="5">
    <w:abstractNumId w:val="23"/>
  </w:num>
  <w:num w:numId="6">
    <w:abstractNumId w:val="4"/>
  </w:num>
  <w:num w:numId="7">
    <w:abstractNumId w:val="24"/>
  </w:num>
  <w:num w:numId="8">
    <w:abstractNumId w:val="3"/>
  </w:num>
  <w:num w:numId="9">
    <w:abstractNumId w:val="20"/>
  </w:num>
  <w:num w:numId="10">
    <w:abstractNumId w:val="26"/>
  </w:num>
  <w:num w:numId="11">
    <w:abstractNumId w:val="14"/>
  </w:num>
  <w:num w:numId="12">
    <w:abstractNumId w:val="2"/>
  </w:num>
  <w:num w:numId="13">
    <w:abstractNumId w:val="16"/>
  </w:num>
  <w:num w:numId="14">
    <w:abstractNumId w:val="6"/>
  </w:num>
  <w:num w:numId="15">
    <w:abstractNumId w:val="19"/>
  </w:num>
  <w:num w:numId="16">
    <w:abstractNumId w:val="25"/>
  </w:num>
  <w:num w:numId="17">
    <w:abstractNumId w:val="13"/>
  </w:num>
  <w:num w:numId="18">
    <w:abstractNumId w:val="8"/>
  </w:num>
  <w:num w:numId="19">
    <w:abstractNumId w:val="21"/>
  </w:num>
  <w:num w:numId="20">
    <w:abstractNumId w:val="5"/>
  </w:num>
  <w:num w:numId="21">
    <w:abstractNumId w:val="12"/>
  </w:num>
  <w:num w:numId="22">
    <w:abstractNumId w:val="1"/>
  </w:num>
  <w:num w:numId="23">
    <w:abstractNumId w:val="0"/>
  </w:num>
  <w:num w:numId="24">
    <w:abstractNumId w:val="10"/>
  </w:num>
  <w:num w:numId="25">
    <w:abstractNumId w:val="15"/>
  </w:num>
  <w:num w:numId="26">
    <w:abstractNumId w:val="18"/>
  </w:num>
  <w:num w:numId="2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51"/>
    <w:rsid w:val="000E5087"/>
    <w:rsid w:val="001F1771"/>
    <w:rsid w:val="002232C2"/>
    <w:rsid w:val="003A49F2"/>
    <w:rsid w:val="00726D51"/>
    <w:rsid w:val="007C594C"/>
    <w:rsid w:val="007D7435"/>
    <w:rsid w:val="00D5172D"/>
    <w:rsid w:val="00E172A6"/>
    <w:rsid w:val="00E8010A"/>
    <w:rsid w:val="00F02C1C"/>
    <w:rsid w:val="00F97466"/>
    <w:rsid w:val="00FA1B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22231E5"/>
  <w15:chartTrackingRefBased/>
  <w15:docId w15:val="{2D25347D-DFD7-441B-8D2B-94E705AD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lang w:eastAsia="en-US"/>
    </w:rPr>
  </w:style>
  <w:style w:type="paragraph" w:styleId="Titolo1">
    <w:name w:val="heading 1"/>
    <w:basedOn w:val="Normale"/>
    <w:next w:val="Normale"/>
    <w:qFormat/>
    <w:pPr>
      <w:keepNext/>
      <w:spacing w:line="400" w:lineRule="atLeast"/>
      <w:ind w:firstLine="1134"/>
      <w:jc w:val="right"/>
      <w:outlineLvl w:val="0"/>
    </w:pPr>
    <w:rPr>
      <w:rFonts w:ascii="Arial" w:hAnsi="Arial"/>
      <w:b/>
      <w:sz w:val="24"/>
    </w:rPr>
  </w:style>
  <w:style w:type="paragraph" w:styleId="Titolo2">
    <w:name w:val="heading 2"/>
    <w:basedOn w:val="Normale"/>
    <w:next w:val="Normale"/>
    <w:qFormat/>
    <w:pPr>
      <w:keepNext/>
      <w:spacing w:line="400" w:lineRule="atLeast"/>
      <w:jc w:val="both"/>
      <w:outlineLvl w:val="1"/>
    </w:pPr>
    <w:rPr>
      <w:rFonts w:ascii="Arial" w:hAnsi="Arial"/>
      <w:sz w:val="24"/>
    </w:rPr>
  </w:style>
  <w:style w:type="paragraph" w:styleId="Titolo3">
    <w:name w:val="heading 3"/>
    <w:basedOn w:val="Normale"/>
    <w:next w:val="Normale"/>
    <w:qFormat/>
    <w:pPr>
      <w:keepNext/>
      <w:spacing w:line="360" w:lineRule="atLeast"/>
      <w:outlineLvl w:val="2"/>
    </w:pPr>
    <w:rPr>
      <w:rFonts w:ascii="Arial" w:hAnsi="Arial"/>
      <w:b/>
      <w:sz w:val="24"/>
    </w:rPr>
  </w:style>
  <w:style w:type="paragraph" w:styleId="Titolo4">
    <w:name w:val="heading 4"/>
    <w:basedOn w:val="Normale"/>
    <w:next w:val="Normale"/>
    <w:qFormat/>
    <w:pPr>
      <w:keepNext/>
      <w:jc w:val="both"/>
      <w:outlineLvl w:val="3"/>
    </w:pPr>
    <w:rPr>
      <w:rFonts w:ascii="Arial" w:hAnsi="Arial"/>
      <w:b/>
      <w:sz w:val="24"/>
    </w:rPr>
  </w:style>
  <w:style w:type="paragraph" w:styleId="Titolo5">
    <w:name w:val="heading 5"/>
    <w:basedOn w:val="Normale"/>
    <w:next w:val="Normale"/>
    <w:qFormat/>
    <w:pPr>
      <w:keepNext/>
      <w:jc w:val="both"/>
      <w:outlineLvl w:val="4"/>
    </w:pPr>
    <w:rPr>
      <w:rFonts w:ascii="Arial" w:hAnsi="Arial"/>
      <w:b/>
      <w:sz w:val="40"/>
    </w:rPr>
  </w:style>
  <w:style w:type="paragraph" w:styleId="Titolo6">
    <w:name w:val="heading 6"/>
    <w:basedOn w:val="Normale"/>
    <w:next w:val="Normale"/>
    <w:qFormat/>
    <w:pPr>
      <w:spacing w:before="240" w:after="60"/>
      <w:outlineLvl w:val="5"/>
    </w:pPr>
    <w:rPr>
      <w:b/>
      <w:bCs/>
      <w:sz w:val="22"/>
      <w:szCs w:val="22"/>
      <w:lang w:eastAsia="it-IT"/>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Rimandonotadichiusura">
    <w:name w:val="endnote reference"/>
    <w:rPr>
      <w:vertAlign w:val="superscript"/>
    </w:rPr>
  </w:style>
  <w:style w:type="paragraph" w:styleId="Testonotadichiusura">
    <w:name w:val="endnote text"/>
    <w:basedOn w:val="Normale"/>
    <w:link w:val="TestonotadichiusuraCarattere"/>
  </w:style>
  <w:style w:type="paragraph" w:styleId="Rientrocorpodeltesto">
    <w:name w:val="Body Text Indent"/>
    <w:basedOn w:val="Normale"/>
    <w:pPr>
      <w:spacing w:line="400" w:lineRule="atLeast"/>
      <w:ind w:firstLine="1134"/>
      <w:jc w:val="both"/>
    </w:pPr>
    <w:rPr>
      <w:rFonts w:ascii="Arial" w:hAnsi="Arial"/>
      <w:sz w:val="24"/>
    </w:rPr>
  </w:style>
  <w:style w:type="paragraph" w:styleId="Corpotesto">
    <w:name w:val="Body Text"/>
    <w:basedOn w:val="Normale"/>
    <w:pPr>
      <w:spacing w:line="480" w:lineRule="auto"/>
      <w:jc w:val="both"/>
    </w:pPr>
    <w:rPr>
      <w:rFonts w:ascii="Arial" w:hAnsi="Arial"/>
      <w:sz w:val="24"/>
    </w:rPr>
  </w:style>
  <w:style w:type="character" w:styleId="Collegamentoipertestuale">
    <w:name w:val="Hyperlink"/>
    <w:rPr>
      <w:color w:val="0000FF"/>
      <w:u w:val="single"/>
    </w:rPr>
  </w:style>
  <w:style w:type="paragraph" w:styleId="Testonormale">
    <w:name w:val="Plain Text"/>
    <w:basedOn w:val="Normale"/>
    <w:rPr>
      <w:rFonts w:ascii="Courier New" w:hAnsi="Courier New"/>
    </w:rPr>
  </w:style>
  <w:style w:type="paragraph" w:customStyle="1" w:styleId="rientro">
    <w:name w:val="rientro"/>
    <w:basedOn w:val="Testonormale"/>
    <w:pPr>
      <w:spacing w:line="360" w:lineRule="auto"/>
      <w:ind w:left="340"/>
      <w:jc w:val="both"/>
    </w:pPr>
  </w:style>
  <w:style w:type="character" w:customStyle="1" w:styleId="IntestazioneCarattere">
    <w:name w:val="Intestazione Carattere"/>
    <w:link w:val="Intestazione"/>
    <w:rPr>
      <w:lang w:eastAsia="en-US"/>
    </w:rPr>
  </w:style>
  <w:style w:type="paragraph" w:styleId="Titolo">
    <w:name w:val="Title"/>
    <w:basedOn w:val="Normale"/>
    <w:qFormat/>
    <w:pPr>
      <w:overflowPunct w:val="0"/>
      <w:autoSpaceDE w:val="0"/>
      <w:autoSpaceDN w:val="0"/>
      <w:adjustRightInd w:val="0"/>
      <w:spacing w:line="360" w:lineRule="atLeast"/>
      <w:jc w:val="center"/>
      <w:textAlignment w:val="baseline"/>
    </w:pPr>
    <w:rPr>
      <w:rFonts w:ascii="Arial" w:hAnsi="Arial" w:cs="Arial"/>
      <w:b/>
      <w:sz w:val="23"/>
      <w:lang w:eastAsia="it-IT"/>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pPr>
      <w:spacing w:before="100" w:beforeAutospacing="1" w:after="100" w:afterAutospacing="1"/>
    </w:pPr>
    <w:rPr>
      <w:sz w:val="24"/>
      <w:szCs w:val="24"/>
      <w:lang w:eastAsia="it-IT"/>
    </w:rPr>
  </w:style>
  <w:style w:type="paragraph" w:styleId="Rientrocorpodeltesto2">
    <w:name w:val="Body Text Indent 2"/>
    <w:basedOn w:val="Normale"/>
    <w:pPr>
      <w:spacing w:after="120" w:line="480" w:lineRule="auto"/>
      <w:ind w:left="283"/>
    </w:pPr>
  </w:style>
  <w:style w:type="character" w:styleId="Collegamentovisitato">
    <w:name w:val="FollowedHyperlink"/>
    <w:rPr>
      <w:color w:val="800080"/>
      <w:u w:val="single"/>
    </w:rPr>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Carattere"/>
    <w:basedOn w:val="Normale"/>
    <w:link w:val="TestonotaapidipaginaCarattere1"/>
    <w:semiHidden/>
    <w:rPr>
      <w:lang w:eastAsia="it-IT"/>
    </w:rPr>
  </w:style>
  <w:style w:type="character" w:styleId="Rimandonotaapidipagina">
    <w:name w:val="footnote reference"/>
    <w:semiHidden/>
    <w:rPr>
      <w:vertAlign w:val="superscript"/>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Carattere Carattere"/>
    <w:link w:val="Testonotaapidipagina"/>
    <w:semiHidden/>
    <w:rPr>
      <w:lang w:val="it-IT" w:eastAsia="it-IT" w:bidi="ar-SA"/>
    </w:rPr>
  </w:style>
  <w:style w:type="paragraph" w:styleId="Corpodeltesto2">
    <w:name w:val="Body Text 2"/>
    <w:basedOn w:val="Normale"/>
    <w:pPr>
      <w:spacing w:after="120" w:line="480" w:lineRule="auto"/>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paragraph" w:customStyle="1" w:styleId="tx">
    <w:name w:val="tx"/>
    <w:basedOn w:val="Normale"/>
    <w:pPr>
      <w:spacing w:before="100" w:beforeAutospacing="1" w:after="100" w:afterAutospacing="1"/>
    </w:pPr>
    <w:rPr>
      <w:sz w:val="24"/>
      <w:szCs w:val="24"/>
      <w:lang w:eastAsia="it-IT"/>
    </w:rPr>
  </w:style>
  <w:style w:type="paragraph" w:customStyle="1" w:styleId="UsoBollo">
    <w:name w:val="Uso Bollo"/>
    <w:basedOn w:val="Normale"/>
    <w:pPr>
      <w:widowControl w:val="0"/>
      <w:suppressAutoHyphens/>
      <w:spacing w:line="480" w:lineRule="exact"/>
      <w:jc w:val="both"/>
    </w:pPr>
    <w:rPr>
      <w:sz w:val="24"/>
      <w:lang w:eastAsia="ar-SA"/>
    </w:rPr>
  </w:style>
  <w:style w:type="paragraph" w:customStyle="1" w:styleId="Puntoelenco1">
    <w:name w:val="Punto elenco1"/>
    <w:basedOn w:val="Normale"/>
    <w:pPr>
      <w:numPr>
        <w:numId w:val="1"/>
      </w:numPr>
      <w:suppressAutoHyphens/>
    </w:pPr>
    <w:rPr>
      <w:sz w:val="24"/>
      <w:szCs w:val="24"/>
      <w:lang w:eastAsia="ar-SA"/>
    </w:rPr>
  </w:style>
  <w:style w:type="paragraph" w:styleId="Rientrocorpodeltesto3">
    <w:name w:val="Body Text Indent 3"/>
    <w:basedOn w:val="Normale"/>
    <w:pPr>
      <w:spacing w:after="120"/>
      <w:ind w:left="283"/>
    </w:pPr>
    <w:rPr>
      <w:sz w:val="16"/>
      <w:szCs w:val="16"/>
    </w:rPr>
  </w:style>
  <w:style w:type="character" w:customStyle="1" w:styleId="citazione">
    <w:name w:val="citazione"/>
    <w:basedOn w:val="Carpredefinitoparagrafo"/>
  </w:style>
  <w:style w:type="paragraph" w:customStyle="1" w:styleId="menualto">
    <w:name w:val="menu_alto"/>
    <w:basedOn w:val="Normale"/>
    <w:qFormat/>
    <w:pPr>
      <w:jc w:val="center"/>
    </w:pPr>
    <w:rPr>
      <w:rFonts w:ascii="Arial" w:hAnsi="Arial"/>
      <w:color w:val="7F7F7F"/>
    </w:rPr>
  </w:style>
  <w:style w:type="character" w:customStyle="1" w:styleId="TestonotadichiusuraCarattere">
    <w:name w:val="Testo nota di chiusura Carattere"/>
    <w:link w:val="Testonotadichiusura"/>
    <w:rPr>
      <w:lang w:val="it-IT" w:eastAsia="en-US" w:bidi="ar-SA"/>
    </w:rPr>
  </w:style>
  <w:style w:type="paragraph" w:customStyle="1" w:styleId="Default">
    <w:name w:val="Default"/>
    <w:pPr>
      <w:widowControl w:val="0"/>
      <w:autoSpaceDE w:val="0"/>
      <w:autoSpaceDN w:val="0"/>
      <w:adjustRightInd w:val="0"/>
    </w:pPr>
    <w:rPr>
      <w:color w:val="000000"/>
      <w:sz w:val="24"/>
      <w:szCs w:val="24"/>
    </w:rPr>
  </w:style>
  <w:style w:type="paragraph" w:customStyle="1" w:styleId="CM4">
    <w:name w:val="CM4"/>
    <w:basedOn w:val="Default"/>
    <w:next w:val="Default"/>
    <w:pPr>
      <w:spacing w:after="93"/>
    </w:pPr>
    <w:rPr>
      <w:color w:val="auto"/>
    </w:rPr>
  </w:style>
  <w:style w:type="character" w:customStyle="1" w:styleId="HeaderChar">
    <w:name w:val="Header Char"/>
    <w:locked/>
    <w:rPr>
      <w:rFonts w:cs="Times New Roman"/>
      <w:lang w:val="x-none" w:eastAsia="en-US"/>
    </w:rPr>
  </w:style>
  <w:style w:type="paragraph" w:customStyle="1" w:styleId="text">
    <w:name w:val="text"/>
    <w:basedOn w:val="Normale"/>
    <w:pPr>
      <w:spacing w:before="100" w:beforeAutospacing="1" w:after="100" w:afterAutospacing="1"/>
      <w:jc w:val="both"/>
    </w:pPr>
    <w:rPr>
      <w:rFonts w:ascii="Verdana" w:hAnsi="Verdana"/>
      <w:color w:val="000000"/>
      <w:sz w:val="12"/>
      <w:szCs w:val="12"/>
      <w:lang w:eastAsia="it-IT"/>
    </w:rPr>
  </w:style>
  <w:style w:type="character" w:customStyle="1" w:styleId="style171">
    <w:name w:val="style171"/>
    <w:rPr>
      <w:sz w:val="20"/>
      <w:szCs w:val="20"/>
    </w:rPr>
  </w:style>
  <w:style w:type="character" w:customStyle="1" w:styleId="ipflashrif1">
    <w:name w:val="ipflashrif1"/>
    <w:rPr>
      <w:rFonts w:ascii="Verdana" w:hAnsi="Verdana" w:hint="default"/>
      <w:i/>
      <w:iCs/>
      <w:color w:val="464646"/>
      <w:sz w:val="16"/>
      <w:szCs w:val="16"/>
      <w:bdr w:val="single" w:sz="8" w:space="0" w:color="000000" w:frame="1"/>
    </w:rPr>
  </w:style>
  <w:style w:type="character" w:customStyle="1" w:styleId="apple-converted-space">
    <w:name w:val="apple-converted-space"/>
    <w:basedOn w:val="Carpredefinitoparagrafo"/>
  </w:style>
  <w:style w:type="character" w:customStyle="1" w:styleId="apple-style-span">
    <w:name w:val="apple-style-span"/>
    <w:basedOn w:val="Carpredefinitoparagrafo"/>
  </w:style>
  <w:style w:type="paragraph" w:styleId="Testofumetto">
    <w:name w:val="Balloon Text"/>
    <w:basedOn w:val="Normale"/>
    <w:semiHidden/>
    <w:rPr>
      <w:rFonts w:ascii="Tahoma" w:hAnsi="Tahoma" w:cs="Tahoma"/>
      <w:sz w:val="16"/>
      <w:szCs w:val="16"/>
    </w:rPr>
  </w:style>
  <w:style w:type="character" w:styleId="Enfasigrassetto">
    <w:name w:val="Strong"/>
    <w:qFormat/>
    <w:rPr>
      <w:b/>
      <w:bCs/>
    </w:rPr>
  </w:style>
  <w:style w:type="character" w:styleId="Enfasicorsivo">
    <w:name w:val="Emphasis"/>
    <w:qFormat/>
    <w:rPr>
      <w:i/>
      <w:iCs/>
    </w:rPr>
  </w:style>
  <w:style w:type="character" w:customStyle="1" w:styleId="PidipaginaCarattere">
    <w:name w:val="Piè di pagina Carattere"/>
    <w:basedOn w:val="Carpredefinitoparagrafo"/>
    <w:link w:val="Pidipagina"/>
    <w:uiPriority w:val="99"/>
    <w:rsid w:val="001F17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6573">
      <w:bodyDiv w:val="1"/>
      <w:marLeft w:val="0"/>
      <w:marRight w:val="0"/>
      <w:marTop w:val="0"/>
      <w:marBottom w:val="0"/>
      <w:divBdr>
        <w:top w:val="none" w:sz="0" w:space="0" w:color="auto"/>
        <w:left w:val="none" w:sz="0" w:space="0" w:color="auto"/>
        <w:bottom w:val="none" w:sz="0" w:space="0" w:color="auto"/>
        <w:right w:val="none" w:sz="0" w:space="0" w:color="auto"/>
      </w:divBdr>
      <w:divsChild>
        <w:div w:id="1497068158">
          <w:marLeft w:val="0"/>
          <w:marRight w:val="0"/>
          <w:marTop w:val="0"/>
          <w:marBottom w:val="0"/>
          <w:divBdr>
            <w:top w:val="none" w:sz="0" w:space="0" w:color="auto"/>
            <w:left w:val="none" w:sz="0" w:space="0" w:color="auto"/>
            <w:bottom w:val="none" w:sz="0" w:space="0" w:color="auto"/>
            <w:right w:val="none" w:sz="0" w:space="0" w:color="auto"/>
          </w:divBdr>
          <w:divsChild>
            <w:div w:id="1966619374">
              <w:marLeft w:val="0"/>
              <w:marRight w:val="0"/>
              <w:marTop w:val="0"/>
              <w:marBottom w:val="0"/>
              <w:divBdr>
                <w:top w:val="none" w:sz="0" w:space="0" w:color="auto"/>
                <w:left w:val="none" w:sz="0" w:space="0" w:color="auto"/>
                <w:bottom w:val="none" w:sz="0" w:space="0" w:color="auto"/>
                <w:right w:val="none" w:sz="0" w:space="0" w:color="auto"/>
              </w:divBdr>
              <w:divsChild>
                <w:div w:id="804009067">
                  <w:marLeft w:val="150"/>
                  <w:marRight w:val="0"/>
                  <w:marTop w:val="150"/>
                  <w:marBottom w:val="75"/>
                  <w:divBdr>
                    <w:top w:val="dotted" w:sz="6" w:space="8" w:color="999999"/>
                    <w:left w:val="none" w:sz="0" w:space="0" w:color="auto"/>
                    <w:bottom w:val="none" w:sz="0" w:space="0" w:color="auto"/>
                    <w:right w:val="none" w:sz="0" w:space="0" w:color="auto"/>
                  </w:divBdr>
                  <w:divsChild>
                    <w:div w:id="781532686">
                      <w:marLeft w:val="0"/>
                      <w:marRight w:val="0"/>
                      <w:marTop w:val="0"/>
                      <w:marBottom w:val="0"/>
                      <w:divBdr>
                        <w:top w:val="none" w:sz="0" w:space="0" w:color="auto"/>
                        <w:left w:val="none" w:sz="0" w:space="0" w:color="auto"/>
                        <w:bottom w:val="dotted" w:sz="6" w:space="4" w:color="999999"/>
                        <w:right w:val="none" w:sz="0" w:space="0" w:color="auto"/>
                      </w:divBdr>
                      <w:divsChild>
                        <w:div w:id="16036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5139">
      <w:bodyDiv w:val="1"/>
      <w:marLeft w:val="0"/>
      <w:marRight w:val="0"/>
      <w:marTop w:val="0"/>
      <w:marBottom w:val="0"/>
      <w:divBdr>
        <w:top w:val="none" w:sz="0" w:space="0" w:color="auto"/>
        <w:left w:val="none" w:sz="0" w:space="0" w:color="auto"/>
        <w:bottom w:val="none" w:sz="0" w:space="0" w:color="auto"/>
        <w:right w:val="none" w:sz="0" w:space="0" w:color="auto"/>
      </w:divBdr>
    </w:div>
    <w:div w:id="340471827">
      <w:bodyDiv w:val="1"/>
      <w:marLeft w:val="0"/>
      <w:marRight w:val="0"/>
      <w:marTop w:val="0"/>
      <w:marBottom w:val="0"/>
      <w:divBdr>
        <w:top w:val="none" w:sz="0" w:space="0" w:color="auto"/>
        <w:left w:val="none" w:sz="0" w:space="0" w:color="auto"/>
        <w:bottom w:val="none" w:sz="0" w:space="0" w:color="auto"/>
        <w:right w:val="none" w:sz="0" w:space="0" w:color="auto"/>
      </w:divBdr>
      <w:divsChild>
        <w:div w:id="1043214523">
          <w:marLeft w:val="0"/>
          <w:marRight w:val="0"/>
          <w:marTop w:val="0"/>
          <w:marBottom w:val="0"/>
          <w:divBdr>
            <w:top w:val="single" w:sz="36" w:space="0" w:color="E4E1DA"/>
            <w:left w:val="none" w:sz="0" w:space="0" w:color="auto"/>
            <w:bottom w:val="single" w:sz="6" w:space="0" w:color="D0CBC8"/>
            <w:right w:val="none" w:sz="0" w:space="0" w:color="auto"/>
          </w:divBdr>
          <w:divsChild>
            <w:div w:id="1135175205">
              <w:marLeft w:val="120"/>
              <w:marRight w:val="120"/>
              <w:marTop w:val="30"/>
              <w:marBottom w:val="0"/>
              <w:divBdr>
                <w:top w:val="none" w:sz="0" w:space="0" w:color="auto"/>
                <w:left w:val="none" w:sz="0" w:space="0" w:color="auto"/>
                <w:bottom w:val="none" w:sz="0" w:space="0" w:color="auto"/>
                <w:right w:val="none" w:sz="0" w:space="0" w:color="auto"/>
              </w:divBdr>
            </w:div>
          </w:divsChild>
        </w:div>
      </w:divsChild>
    </w:div>
    <w:div w:id="395974993">
      <w:bodyDiv w:val="1"/>
      <w:marLeft w:val="0"/>
      <w:marRight w:val="0"/>
      <w:marTop w:val="0"/>
      <w:marBottom w:val="0"/>
      <w:divBdr>
        <w:top w:val="none" w:sz="0" w:space="0" w:color="auto"/>
        <w:left w:val="none" w:sz="0" w:space="0" w:color="auto"/>
        <w:bottom w:val="none" w:sz="0" w:space="0" w:color="auto"/>
        <w:right w:val="none" w:sz="0" w:space="0" w:color="auto"/>
      </w:divBdr>
    </w:div>
    <w:div w:id="431515201">
      <w:bodyDiv w:val="1"/>
      <w:marLeft w:val="0"/>
      <w:marRight w:val="0"/>
      <w:marTop w:val="0"/>
      <w:marBottom w:val="0"/>
      <w:divBdr>
        <w:top w:val="none" w:sz="0" w:space="0" w:color="auto"/>
        <w:left w:val="none" w:sz="0" w:space="0" w:color="auto"/>
        <w:bottom w:val="none" w:sz="0" w:space="0" w:color="auto"/>
        <w:right w:val="none" w:sz="0" w:space="0" w:color="auto"/>
      </w:divBdr>
    </w:div>
    <w:div w:id="837766925">
      <w:bodyDiv w:val="1"/>
      <w:marLeft w:val="0"/>
      <w:marRight w:val="0"/>
      <w:marTop w:val="0"/>
      <w:marBottom w:val="0"/>
      <w:divBdr>
        <w:top w:val="none" w:sz="0" w:space="0" w:color="auto"/>
        <w:left w:val="none" w:sz="0" w:space="0" w:color="auto"/>
        <w:bottom w:val="none" w:sz="0" w:space="0" w:color="auto"/>
        <w:right w:val="none" w:sz="0" w:space="0" w:color="auto"/>
      </w:divBdr>
      <w:divsChild>
        <w:div w:id="100032026">
          <w:marLeft w:val="0"/>
          <w:marRight w:val="0"/>
          <w:marTop w:val="0"/>
          <w:marBottom w:val="0"/>
          <w:divBdr>
            <w:top w:val="none" w:sz="0" w:space="0" w:color="auto"/>
            <w:left w:val="none" w:sz="0" w:space="0" w:color="auto"/>
            <w:bottom w:val="none" w:sz="0" w:space="0" w:color="auto"/>
            <w:right w:val="none" w:sz="0" w:space="0" w:color="auto"/>
          </w:divBdr>
        </w:div>
      </w:divsChild>
    </w:div>
    <w:div w:id="969702242">
      <w:bodyDiv w:val="1"/>
      <w:marLeft w:val="0"/>
      <w:marRight w:val="0"/>
      <w:marTop w:val="0"/>
      <w:marBottom w:val="0"/>
      <w:divBdr>
        <w:top w:val="none" w:sz="0" w:space="0" w:color="auto"/>
        <w:left w:val="none" w:sz="0" w:space="0" w:color="auto"/>
        <w:bottom w:val="none" w:sz="0" w:space="0" w:color="auto"/>
        <w:right w:val="none" w:sz="0" w:space="0" w:color="auto"/>
      </w:divBdr>
    </w:div>
    <w:div w:id="1094738701">
      <w:bodyDiv w:val="1"/>
      <w:marLeft w:val="0"/>
      <w:marRight w:val="0"/>
      <w:marTop w:val="0"/>
      <w:marBottom w:val="0"/>
      <w:divBdr>
        <w:top w:val="none" w:sz="0" w:space="0" w:color="auto"/>
        <w:left w:val="none" w:sz="0" w:space="0" w:color="auto"/>
        <w:bottom w:val="none" w:sz="0" w:space="0" w:color="auto"/>
        <w:right w:val="none" w:sz="0" w:space="0" w:color="auto"/>
      </w:divBdr>
      <w:divsChild>
        <w:div w:id="268321411">
          <w:marLeft w:val="0"/>
          <w:marRight w:val="0"/>
          <w:marTop w:val="0"/>
          <w:marBottom w:val="0"/>
          <w:divBdr>
            <w:top w:val="none" w:sz="0" w:space="0" w:color="auto"/>
            <w:left w:val="none" w:sz="0" w:space="0" w:color="auto"/>
            <w:bottom w:val="none" w:sz="0" w:space="0" w:color="auto"/>
            <w:right w:val="none" w:sz="0" w:space="0" w:color="auto"/>
          </w:divBdr>
          <w:divsChild>
            <w:div w:id="398984656">
              <w:marLeft w:val="0"/>
              <w:marRight w:val="0"/>
              <w:marTop w:val="0"/>
              <w:marBottom w:val="0"/>
              <w:divBdr>
                <w:top w:val="none" w:sz="0" w:space="0" w:color="auto"/>
                <w:left w:val="none" w:sz="0" w:space="0" w:color="auto"/>
                <w:bottom w:val="none" w:sz="0" w:space="0" w:color="auto"/>
                <w:right w:val="none" w:sz="0" w:space="0" w:color="auto"/>
              </w:divBdr>
              <w:divsChild>
                <w:div w:id="1297950626">
                  <w:marLeft w:val="0"/>
                  <w:marRight w:val="0"/>
                  <w:marTop w:val="0"/>
                  <w:marBottom w:val="0"/>
                  <w:divBdr>
                    <w:top w:val="none" w:sz="0" w:space="0" w:color="auto"/>
                    <w:left w:val="none" w:sz="0" w:space="0" w:color="auto"/>
                    <w:bottom w:val="none" w:sz="0" w:space="0" w:color="auto"/>
                    <w:right w:val="none" w:sz="0" w:space="0" w:color="auto"/>
                  </w:divBdr>
                  <w:divsChild>
                    <w:div w:id="2021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88439">
      <w:bodyDiv w:val="1"/>
      <w:marLeft w:val="0"/>
      <w:marRight w:val="0"/>
      <w:marTop w:val="0"/>
      <w:marBottom w:val="0"/>
      <w:divBdr>
        <w:top w:val="none" w:sz="0" w:space="0" w:color="auto"/>
        <w:left w:val="none" w:sz="0" w:space="0" w:color="auto"/>
        <w:bottom w:val="none" w:sz="0" w:space="0" w:color="auto"/>
        <w:right w:val="none" w:sz="0" w:space="0" w:color="auto"/>
      </w:divBdr>
      <w:divsChild>
        <w:div w:id="2105148422">
          <w:marLeft w:val="0"/>
          <w:marRight w:val="0"/>
          <w:marTop w:val="0"/>
          <w:marBottom w:val="45"/>
          <w:divBdr>
            <w:top w:val="none" w:sz="0" w:space="0" w:color="auto"/>
            <w:left w:val="none" w:sz="0" w:space="0" w:color="auto"/>
            <w:bottom w:val="none" w:sz="0" w:space="0" w:color="auto"/>
            <w:right w:val="none" w:sz="0" w:space="0" w:color="auto"/>
          </w:divBdr>
          <w:divsChild>
            <w:div w:id="658926426">
              <w:marLeft w:val="0"/>
              <w:marRight w:val="-5250"/>
              <w:marTop w:val="0"/>
              <w:marBottom w:val="0"/>
              <w:divBdr>
                <w:top w:val="none" w:sz="0" w:space="0" w:color="auto"/>
                <w:left w:val="none" w:sz="0" w:space="0" w:color="auto"/>
                <w:bottom w:val="none" w:sz="0" w:space="0" w:color="auto"/>
                <w:right w:val="none" w:sz="0" w:space="0" w:color="auto"/>
              </w:divBdr>
              <w:divsChild>
                <w:div w:id="16665820">
                  <w:marLeft w:val="0"/>
                  <w:marRight w:val="5250"/>
                  <w:marTop w:val="0"/>
                  <w:marBottom w:val="0"/>
                  <w:divBdr>
                    <w:top w:val="none" w:sz="0" w:space="0" w:color="auto"/>
                    <w:left w:val="none" w:sz="0" w:space="0" w:color="auto"/>
                    <w:bottom w:val="none" w:sz="0" w:space="0" w:color="auto"/>
                    <w:right w:val="single" w:sz="18" w:space="0" w:color="D5DADD"/>
                  </w:divBdr>
                  <w:divsChild>
                    <w:div w:id="2043968494">
                      <w:marLeft w:val="0"/>
                      <w:marRight w:val="0"/>
                      <w:marTop w:val="0"/>
                      <w:marBottom w:val="0"/>
                      <w:divBdr>
                        <w:top w:val="none" w:sz="0" w:space="0" w:color="auto"/>
                        <w:left w:val="none" w:sz="0" w:space="0" w:color="auto"/>
                        <w:bottom w:val="none" w:sz="0" w:space="0" w:color="auto"/>
                        <w:right w:val="none" w:sz="0" w:space="0" w:color="auto"/>
                      </w:divBdr>
                      <w:divsChild>
                        <w:div w:id="1006590989">
                          <w:marLeft w:val="0"/>
                          <w:marRight w:val="0"/>
                          <w:marTop w:val="225"/>
                          <w:marBottom w:val="75"/>
                          <w:divBdr>
                            <w:top w:val="none" w:sz="0" w:space="0" w:color="auto"/>
                            <w:left w:val="none" w:sz="0" w:space="0" w:color="auto"/>
                            <w:bottom w:val="none" w:sz="0" w:space="0" w:color="auto"/>
                            <w:right w:val="none" w:sz="0" w:space="0" w:color="auto"/>
                          </w:divBdr>
                          <w:divsChild>
                            <w:div w:id="820775258">
                              <w:blockQuote w:val="1"/>
                              <w:marLeft w:val="0"/>
                              <w:marRight w:val="0"/>
                              <w:marTop w:val="0"/>
                              <w:marBottom w:val="135"/>
                              <w:divBdr>
                                <w:top w:val="none" w:sz="0" w:space="0" w:color="auto"/>
                                <w:left w:val="single" w:sz="12" w:space="5" w:color="EAEAEA"/>
                                <w:bottom w:val="none" w:sz="0" w:space="0" w:color="auto"/>
                                <w:right w:val="none" w:sz="0" w:space="0" w:color="auto"/>
                              </w:divBdr>
                            </w:div>
                          </w:divsChild>
                        </w:div>
                      </w:divsChild>
                    </w:div>
                  </w:divsChild>
                </w:div>
              </w:divsChild>
            </w:div>
          </w:divsChild>
        </w:div>
      </w:divsChild>
    </w:div>
    <w:div w:id="1883248864">
      <w:bodyDiv w:val="1"/>
      <w:marLeft w:val="0"/>
      <w:marRight w:val="0"/>
      <w:marTop w:val="0"/>
      <w:marBottom w:val="0"/>
      <w:divBdr>
        <w:top w:val="none" w:sz="0" w:space="0" w:color="auto"/>
        <w:left w:val="none" w:sz="0" w:space="0" w:color="auto"/>
        <w:bottom w:val="none" w:sz="0" w:space="0" w:color="auto"/>
        <w:right w:val="none" w:sz="0" w:space="0" w:color="auto"/>
      </w:divBdr>
    </w:div>
    <w:div w:id="1921480436">
      <w:bodyDiv w:val="1"/>
      <w:marLeft w:val="0"/>
      <w:marRight w:val="0"/>
      <w:marTop w:val="0"/>
      <w:marBottom w:val="0"/>
      <w:divBdr>
        <w:top w:val="none" w:sz="0" w:space="0" w:color="auto"/>
        <w:left w:val="none" w:sz="0" w:space="0" w:color="auto"/>
        <w:bottom w:val="none" w:sz="0" w:space="0" w:color="auto"/>
        <w:right w:val="none" w:sz="0" w:space="0" w:color="auto"/>
      </w:divBdr>
      <w:divsChild>
        <w:div w:id="174198431">
          <w:marLeft w:val="0"/>
          <w:marRight w:val="0"/>
          <w:marTop w:val="0"/>
          <w:marBottom w:val="0"/>
          <w:divBdr>
            <w:top w:val="none" w:sz="0" w:space="0" w:color="auto"/>
            <w:left w:val="none" w:sz="0" w:space="0" w:color="auto"/>
            <w:bottom w:val="none" w:sz="0" w:space="0" w:color="auto"/>
            <w:right w:val="none" w:sz="0" w:space="0" w:color="auto"/>
          </w:divBdr>
          <w:divsChild>
            <w:div w:id="502087084">
              <w:marLeft w:val="0"/>
              <w:marRight w:val="0"/>
              <w:marTop w:val="0"/>
              <w:marBottom w:val="0"/>
              <w:divBdr>
                <w:top w:val="none" w:sz="0" w:space="0" w:color="auto"/>
                <w:left w:val="none" w:sz="0" w:space="0" w:color="auto"/>
                <w:bottom w:val="none" w:sz="0" w:space="0" w:color="auto"/>
                <w:right w:val="none" w:sz="0" w:space="0" w:color="auto"/>
              </w:divBdr>
              <w:divsChild>
                <w:div w:id="822240781">
                  <w:marLeft w:val="0"/>
                  <w:marRight w:val="0"/>
                  <w:marTop w:val="0"/>
                  <w:marBottom w:val="0"/>
                  <w:divBdr>
                    <w:top w:val="none" w:sz="0" w:space="0" w:color="auto"/>
                    <w:left w:val="none" w:sz="0" w:space="0" w:color="auto"/>
                    <w:bottom w:val="none" w:sz="0" w:space="0" w:color="auto"/>
                    <w:right w:val="none" w:sz="0" w:space="0" w:color="auto"/>
                  </w:divBdr>
                  <w:divsChild>
                    <w:div w:id="6710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nricospanu@pec.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E2C9-94C8-4BE4-8977-031E1F7A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1391</Words>
  <Characters>7930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lpstr>
    </vt:vector>
  </TitlesOfParts>
  <Company>www.ateneoweb.com</Company>
  <LinksUpToDate>false</LinksUpToDate>
  <CharactersWithSpaces>9303</CharactersWithSpaces>
  <SharedDoc>false</SharedDoc>
  <HLinks>
    <vt:vector size="78" baseType="variant">
      <vt:variant>
        <vt:i4>6488171</vt:i4>
      </vt:variant>
      <vt:variant>
        <vt:i4>36</vt:i4>
      </vt:variant>
      <vt:variant>
        <vt:i4>0</vt:i4>
      </vt:variant>
      <vt:variant>
        <vt:i4>5</vt:i4>
      </vt:variant>
      <vt:variant>
        <vt:lpwstr>http://supporto.ateneoweb.com/</vt:lpwstr>
      </vt:variant>
      <vt:variant>
        <vt:lpwstr/>
      </vt:variant>
      <vt:variant>
        <vt:i4>4849778</vt:i4>
      </vt:variant>
      <vt:variant>
        <vt:i4>33</vt:i4>
      </vt:variant>
      <vt:variant>
        <vt:i4>0</vt:i4>
      </vt:variant>
      <vt:variant>
        <vt:i4>5</vt:i4>
      </vt:variant>
      <vt:variant>
        <vt:lpwstr>mailto:stmeli@studiomeli.it</vt:lpwstr>
      </vt:variant>
      <vt:variant>
        <vt:lpwstr/>
      </vt:variant>
      <vt:variant>
        <vt:i4>2031690</vt:i4>
      </vt:variant>
      <vt:variant>
        <vt:i4>30</vt:i4>
      </vt:variant>
      <vt:variant>
        <vt:i4>0</vt:i4>
      </vt:variant>
      <vt:variant>
        <vt:i4>5</vt:i4>
      </vt:variant>
      <vt:variant>
        <vt:lpwstr>http://www.studiomeli.it/</vt:lpwstr>
      </vt:variant>
      <vt:variant>
        <vt:lpwstr/>
      </vt:variant>
      <vt:variant>
        <vt:i4>6750323</vt:i4>
      </vt:variant>
      <vt:variant>
        <vt:i4>27</vt:i4>
      </vt:variant>
      <vt:variant>
        <vt:i4>0</vt:i4>
      </vt:variant>
      <vt:variant>
        <vt:i4>5</vt:i4>
      </vt:variant>
      <vt:variant>
        <vt:lpwstr>http://catalogo.ateneoweb.com/</vt:lpwstr>
      </vt:variant>
      <vt:variant>
        <vt:lpwstr/>
      </vt:variant>
      <vt:variant>
        <vt:i4>4718606</vt:i4>
      </vt:variant>
      <vt:variant>
        <vt:i4>24</vt:i4>
      </vt:variant>
      <vt:variant>
        <vt:i4>0</vt:i4>
      </vt:variant>
      <vt:variant>
        <vt:i4>5</vt:i4>
      </vt:variant>
      <vt:variant>
        <vt:lpwstr>http://profilo.ateneoweb.com/</vt:lpwstr>
      </vt:variant>
      <vt:variant>
        <vt:lpwstr/>
      </vt:variant>
      <vt:variant>
        <vt:i4>7471108</vt:i4>
      </vt:variant>
      <vt:variant>
        <vt:i4>21</vt:i4>
      </vt:variant>
      <vt:variant>
        <vt:i4>0</vt:i4>
      </vt:variant>
      <vt:variant>
        <vt:i4>5</vt:i4>
      </vt:variant>
      <vt:variant>
        <vt:lpwstr>http://ateneoweb.com/studio/catalogo.php3/id_pad/63145/id_std/1/livcat/2</vt:lpwstr>
      </vt:variant>
      <vt:variant>
        <vt:lpwstr>#</vt:lpwstr>
      </vt:variant>
      <vt:variant>
        <vt:i4>7733353</vt:i4>
      </vt:variant>
      <vt:variant>
        <vt:i4>18</vt:i4>
      </vt:variant>
      <vt:variant>
        <vt:i4>0</vt:i4>
      </vt:variant>
      <vt:variant>
        <vt:i4>5</vt:i4>
      </vt:variant>
      <vt:variant>
        <vt:lpwstr>http://affiliazioni.ateneoweb.com/</vt:lpwstr>
      </vt:variant>
      <vt:variant>
        <vt:lpwstr/>
      </vt:variant>
      <vt:variant>
        <vt:i4>5111812</vt:i4>
      </vt:variant>
      <vt:variant>
        <vt:i4>15</vt:i4>
      </vt:variant>
      <vt:variant>
        <vt:i4>0</vt:i4>
      </vt:variant>
      <vt:variant>
        <vt:i4>5</vt:i4>
      </vt:variant>
      <vt:variant>
        <vt:lpwstr>http://approfondimenti.ateneoweb.com/</vt:lpwstr>
      </vt:variant>
      <vt:variant>
        <vt:lpwstr/>
      </vt:variant>
      <vt:variant>
        <vt:i4>6422629</vt:i4>
      </vt:variant>
      <vt:variant>
        <vt:i4>12</vt:i4>
      </vt:variant>
      <vt:variant>
        <vt:i4>0</vt:i4>
      </vt:variant>
      <vt:variant>
        <vt:i4>5</vt:i4>
      </vt:variant>
      <vt:variant>
        <vt:lpwstr>http://news.ateneoweb.com/</vt:lpwstr>
      </vt:variant>
      <vt:variant>
        <vt:lpwstr/>
      </vt:variant>
      <vt:variant>
        <vt:i4>4521988</vt:i4>
      </vt:variant>
      <vt:variant>
        <vt:i4>9</vt:i4>
      </vt:variant>
      <vt:variant>
        <vt:i4>0</vt:i4>
      </vt:variant>
      <vt:variant>
        <vt:i4>5</vt:i4>
      </vt:variant>
      <vt:variant>
        <vt:lpwstr>http://quesiti.ateneoweb.com/</vt:lpwstr>
      </vt:variant>
      <vt:variant>
        <vt:lpwstr/>
      </vt:variant>
      <vt:variant>
        <vt:i4>786442</vt:i4>
      </vt:variant>
      <vt:variant>
        <vt:i4>6</vt:i4>
      </vt:variant>
      <vt:variant>
        <vt:i4>0</vt:i4>
      </vt:variant>
      <vt:variant>
        <vt:i4>5</vt:i4>
      </vt:variant>
      <vt:variant>
        <vt:lpwstr>http://visure.ateneoweb.com/</vt:lpwstr>
      </vt:variant>
      <vt:variant>
        <vt:lpwstr/>
      </vt:variant>
      <vt:variant>
        <vt:i4>3932285</vt:i4>
      </vt:variant>
      <vt:variant>
        <vt:i4>3</vt:i4>
      </vt:variant>
      <vt:variant>
        <vt:i4>0</vt:i4>
      </vt:variant>
      <vt:variant>
        <vt:i4>5</vt:i4>
      </vt:variant>
      <vt:variant>
        <vt:lpwstr>http://documenti.ateneoweb.com/</vt:lpwstr>
      </vt:variant>
      <vt:variant>
        <vt:lpwstr/>
      </vt:variant>
      <vt:variant>
        <vt:i4>4259863</vt:i4>
      </vt:variant>
      <vt:variant>
        <vt:i4>0</vt:i4>
      </vt:variant>
      <vt:variant>
        <vt:i4>0</vt:i4>
      </vt:variant>
      <vt:variant>
        <vt:i4>5</vt:i4>
      </vt:variant>
      <vt:variant>
        <vt:lpwstr>http://scadenzario.ateneoweb.com/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5</cp:revision>
  <cp:lastPrinted>2017-11-29T13:32:00Z</cp:lastPrinted>
  <dcterms:created xsi:type="dcterms:W3CDTF">2018-12-17T10:49:00Z</dcterms:created>
  <dcterms:modified xsi:type="dcterms:W3CDTF">2018-12-17T11:36:00Z</dcterms:modified>
</cp:coreProperties>
</file>